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83" w:rsidRPr="00B83CF5" w:rsidRDefault="00503683" w:rsidP="00503683">
      <w:pPr>
        <w:spacing w:before="120"/>
        <w:jc w:val="center"/>
        <w:rPr>
          <w:rFonts w:ascii="Arial" w:hAnsi="Arial" w:cs="Arial"/>
          <w:b/>
          <w:sz w:val="20"/>
          <w:lang w:val="en-US"/>
        </w:rPr>
      </w:pPr>
      <w:r w:rsidRPr="00B83CF5">
        <w:rPr>
          <w:rFonts w:ascii="Arial" w:hAnsi="Arial" w:cs="Arial"/>
          <w:b/>
          <w:sz w:val="20"/>
          <w:lang w:val="en-US"/>
        </w:rPr>
        <w:t>Biểu số 02</w:t>
      </w:r>
    </w:p>
    <w:p w:rsidR="00503683" w:rsidRPr="00B83CF5" w:rsidRDefault="00503683" w:rsidP="00503683">
      <w:pPr>
        <w:spacing w:before="120"/>
        <w:jc w:val="center"/>
        <w:rPr>
          <w:rFonts w:ascii="Arial" w:hAnsi="Arial" w:cs="Arial"/>
          <w:b/>
          <w:sz w:val="20"/>
          <w:lang w:val="en-US"/>
        </w:rPr>
      </w:pPr>
      <w:r w:rsidRPr="00B83CF5">
        <w:rPr>
          <w:rFonts w:ascii="Arial" w:hAnsi="Arial" w:cs="Arial"/>
          <w:b/>
          <w:sz w:val="20"/>
          <w:lang w:val="en-US"/>
        </w:rPr>
        <w:t xml:space="preserve">TRÌNH TỰ GHI SỔ KẾ TOÁN THEO HÌNH THỨC KẾ TOÁN </w:t>
      </w:r>
      <w:r w:rsidRPr="00B83CF5">
        <w:rPr>
          <w:rFonts w:ascii="Arial" w:hAnsi="Arial" w:cs="Arial"/>
          <w:b/>
          <w:sz w:val="20"/>
          <w:lang w:val="en-US"/>
        </w:rPr>
        <w:br/>
        <w:t>NHẬT KÝ - SỔ CÁI</w:t>
      </w:r>
    </w:p>
    <w:p w:rsidR="00503683" w:rsidRPr="00B83CF5" w:rsidRDefault="00503683" w:rsidP="00503683">
      <w:pPr>
        <w:widowControl/>
        <w:spacing w:before="120"/>
        <w:ind w:right="43"/>
        <w:jc w:val="center"/>
        <w:rPr>
          <w:rFonts w:ascii="Arial" w:hAnsi="Arial" w:cs="Arial"/>
          <w:sz w:val="20"/>
          <w:lang w:val="en-US"/>
        </w:rPr>
      </w:pPr>
      <w:r w:rsidRPr="00B83CF5">
        <w:rPr>
          <w:rFonts w:ascii="Arial" w:hAnsi="Arial" w:cs="Arial"/>
          <w:noProof/>
          <w:sz w:val="20"/>
          <w:lang w:val="en-US" w:eastAsia="en-US"/>
        </w:rPr>
        <w:drawing>
          <wp:inline distT="0" distB="0" distL="0" distR="0">
            <wp:extent cx="5124450" cy="397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3971925"/>
                    </a:xfrm>
                    <a:prstGeom prst="rect">
                      <a:avLst/>
                    </a:prstGeom>
                    <a:noFill/>
                    <a:ln>
                      <a:noFill/>
                    </a:ln>
                  </pic:spPr>
                </pic:pic>
              </a:graphicData>
            </a:graphic>
          </wp:inline>
        </w:drawing>
      </w:r>
    </w:p>
    <w:p w:rsidR="00503683" w:rsidRPr="00B83CF5" w:rsidRDefault="00503683" w:rsidP="00503683">
      <w:pPr>
        <w:spacing w:before="120"/>
        <w:rPr>
          <w:rFonts w:ascii="Arial" w:hAnsi="Arial" w:cs="Arial"/>
          <w:b/>
          <w:i/>
          <w:sz w:val="20"/>
          <w:lang w:val="en-US"/>
        </w:rPr>
      </w:pPr>
      <w:r w:rsidRPr="00B83CF5">
        <w:rPr>
          <w:rFonts w:ascii="Arial" w:hAnsi="Arial" w:cs="Arial"/>
          <w:b/>
          <w:i/>
          <w:sz w:val="20"/>
          <w:lang w:val="en-US"/>
        </w:rPr>
        <w:t>Ghi chú:</w:t>
      </w:r>
    </w:p>
    <w:p w:rsidR="00503683" w:rsidRPr="00B83CF5" w:rsidRDefault="00503683" w:rsidP="00503683">
      <w:pPr>
        <w:tabs>
          <w:tab w:val="left" w:pos="2880"/>
        </w:tabs>
        <w:spacing w:before="120"/>
        <w:rPr>
          <w:rFonts w:ascii="Arial" w:hAnsi="Arial" w:cs="Arial"/>
          <w:sz w:val="20"/>
          <w:lang w:val="en-US"/>
        </w:rPr>
      </w:pPr>
      <w:r w:rsidRPr="00B83CF5">
        <w:rPr>
          <w:rFonts w:ascii="Arial" w:hAnsi="Arial" w:cs="Arial"/>
          <w:sz w:val="20"/>
          <w:lang w:val="en-US"/>
        </w:rPr>
        <w:t>Ghi hàng ngày</w:t>
      </w:r>
      <w:r w:rsidRPr="00B83CF5">
        <w:rPr>
          <w:rFonts w:ascii="Arial" w:hAnsi="Arial" w:cs="Arial"/>
          <w:sz w:val="20"/>
          <w:lang w:val="en-US"/>
        </w:rPr>
        <w:tab/>
      </w:r>
      <w:r w:rsidRPr="00B83CF5">
        <w:rPr>
          <w:rFonts w:ascii="Arial" w:hAnsi="Arial" w:cs="Arial"/>
          <w:noProof/>
          <w:sz w:val="20"/>
          <w:lang w:val="en-US" w:eastAsia="en-US"/>
        </w:rPr>
        <w:drawing>
          <wp:inline distT="0" distB="0" distL="0" distR="0">
            <wp:extent cx="6477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503683" w:rsidRPr="00B83CF5" w:rsidRDefault="00503683" w:rsidP="00503683">
      <w:pPr>
        <w:tabs>
          <w:tab w:val="left" w:pos="2880"/>
        </w:tabs>
        <w:spacing w:before="120"/>
        <w:rPr>
          <w:rFonts w:ascii="Arial" w:hAnsi="Arial" w:cs="Arial"/>
          <w:sz w:val="20"/>
          <w:lang w:val="en-US"/>
        </w:rPr>
      </w:pPr>
      <w:r w:rsidRPr="00B83CF5">
        <w:rPr>
          <w:rFonts w:ascii="Arial" w:hAnsi="Arial" w:cs="Arial"/>
          <w:sz w:val="20"/>
          <w:lang w:val="en-US"/>
        </w:rPr>
        <w:t>Ghi cuối tháng</w:t>
      </w:r>
      <w:r w:rsidRPr="00B83CF5">
        <w:rPr>
          <w:rFonts w:ascii="Arial" w:hAnsi="Arial" w:cs="Arial"/>
          <w:sz w:val="20"/>
          <w:lang w:val="en-US"/>
        </w:rPr>
        <w:tab/>
      </w:r>
      <w:r w:rsidRPr="00B83CF5">
        <w:rPr>
          <w:rFonts w:ascii="Arial" w:hAnsi="Arial" w:cs="Arial"/>
          <w:noProof/>
          <w:sz w:val="20"/>
          <w:lang w:val="en-US" w:eastAsia="en-US"/>
        </w:rPr>
        <w:drawing>
          <wp:inline distT="0" distB="0" distL="0" distR="0">
            <wp:extent cx="6191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p>
    <w:p w:rsidR="00503683" w:rsidRPr="00B83CF5" w:rsidRDefault="00503683" w:rsidP="00503683">
      <w:pPr>
        <w:tabs>
          <w:tab w:val="left" w:pos="2880"/>
        </w:tabs>
        <w:spacing w:before="120"/>
        <w:rPr>
          <w:rFonts w:ascii="Arial" w:hAnsi="Arial" w:cs="Arial"/>
          <w:sz w:val="20"/>
          <w:lang w:val="en-US"/>
        </w:rPr>
      </w:pPr>
      <w:r w:rsidRPr="00B83CF5">
        <w:rPr>
          <w:rFonts w:ascii="Arial" w:hAnsi="Arial" w:cs="Arial"/>
          <w:sz w:val="20"/>
          <w:lang w:val="en-US"/>
        </w:rPr>
        <w:t>Đối chiếu, kiểm tra</w:t>
      </w:r>
      <w:r w:rsidRPr="00B83CF5">
        <w:rPr>
          <w:rFonts w:ascii="Arial" w:hAnsi="Arial" w:cs="Arial"/>
          <w:sz w:val="20"/>
          <w:lang w:val="en-US"/>
        </w:rPr>
        <w:tab/>
      </w:r>
      <w:r w:rsidRPr="00B83CF5">
        <w:rPr>
          <w:rFonts w:ascii="Arial" w:hAnsi="Arial" w:cs="Arial"/>
          <w:noProof/>
          <w:sz w:val="20"/>
          <w:lang w:val="en-US" w:eastAsia="en-US"/>
        </w:rPr>
        <w:drawing>
          <wp:inline distT="0" distB="0" distL="0" distR="0">
            <wp:extent cx="638175" cy="13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33350"/>
                    </a:xfrm>
                    <a:prstGeom prst="rect">
                      <a:avLst/>
                    </a:prstGeom>
                    <a:noFill/>
                    <a:ln>
                      <a:noFill/>
                    </a:ln>
                  </pic:spPr>
                </pic:pic>
              </a:graphicData>
            </a:graphic>
          </wp:inline>
        </w:drawing>
      </w:r>
    </w:p>
    <w:p w:rsidR="00503683" w:rsidRPr="00B83CF5" w:rsidRDefault="00503683" w:rsidP="00503683">
      <w:pPr>
        <w:spacing w:before="120"/>
        <w:rPr>
          <w:rFonts w:ascii="Arial" w:hAnsi="Arial" w:cs="Arial"/>
          <w:b/>
          <w:sz w:val="20"/>
          <w:lang w:val="en-US"/>
        </w:rPr>
      </w:pPr>
      <w:r w:rsidRPr="00B83CF5">
        <w:rPr>
          <w:rFonts w:ascii="Arial" w:hAnsi="Arial" w:cs="Arial"/>
          <w:b/>
          <w:sz w:val="20"/>
          <w:lang w:val="en-US"/>
        </w:rPr>
        <w:t>4. Hình thức kế toán Chứng từ ghi sổ</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a) Đặc trưng cơ bản của hình thức kế toán Chứng từ ghi sổ: Căn cứ trực tiếp để ghi sổ kế toán tổng hợp là “Chứng từ ghi sổ”. Việc ghi sổ kế toán tổng hợp bao gồm:</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Ghi theo trình tự thời gian trên Sổ Đăng ký Chứng từ ghi sổ.</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Ghi theo nội dung kinh tế trên Sổ Cái.</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Chứng từ ghi sổ do kế toán lập trên cơ sở từng chứng từ kế toán hoặc Bảng Tổng hợp chứng từ kế toán cùng loại, có cùng nội dung kinh tế. Chứng từ ghi sổ được đánh số hiệu liên tục trong từng tháng hoặc cả năm (theo số thứ tự trong Sổ Đăng ký Chứng từ ghi sổ) và có chứng từ kế toán đính kèm, phải được kế toán trưởng duyệt trước khi ghi sổ kế toán. Hình thức kế toán Chứng từ ghi sổ gồm có các loại sổ kế toán sau:</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Chứng từ ghi sổ;</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Sổ Đăng ký Chứng từ ghi sổ;</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Sổ Cái;</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lastRenderedPageBreak/>
        <w:t>+ Các Sổ, Thẻ kế toán chi tiết.</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b) Trình tự ghi sổ kế toán theo hình thức kế toán Chứng từ ghi sổ (Sơ đồ số 03)</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Hàng ngày hoặc định kỳ, căn cứ vào các chứng từ kế toán hoặc Bảng Tổng hợp chứng từ kế 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Cuối tháng, phải khóa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tài khoản.</w:t>
      </w:r>
    </w:p>
    <w:p w:rsidR="00503683" w:rsidRPr="00B83CF5" w:rsidRDefault="00503683" w:rsidP="00503683">
      <w:pPr>
        <w:spacing w:before="120"/>
        <w:rPr>
          <w:rFonts w:ascii="Arial" w:hAnsi="Arial" w:cs="Arial"/>
          <w:sz w:val="20"/>
          <w:lang w:val="en-US"/>
        </w:rPr>
      </w:pPr>
      <w:r w:rsidRPr="00B83CF5">
        <w:rPr>
          <w:rFonts w:ascii="Arial" w:hAnsi="Arial" w:cs="Arial"/>
          <w:sz w:val="20"/>
          <w:lang w:val="en-US"/>
        </w:rPr>
        <w:t>- Sau khi đối chiếu khớp đúng, số liệu ghi trên Sổ Cái và Bảng tổng hợp chi tiết (được lập từ các sổ, thẻ kế toán chi tiết) được dùng để lập Báo cáo tài chính. Quan hệ đối chiếu, kiểm tra phải đảm bảo Tổng số phát sinh Nợ và Tổng số phát sinh Có của tất cả các tài khoản trên Bảng cân đối tài khoản phải bằng nhau và bằng Tổng số tiền phát sinh trên sổ Đăng ký Chứng từ ghi sổ. Tổng số dư Nợ và Tổng số dư Có của các tài khoản trên Bảng cân đối tài khoản phải bằng nhau, và số dư của từng tài khoản trên Bảng cân đối tài khoản phải bằng số dư của từng tài khoản tương ứng trên Bảng tổng hợp chi tiết.</w:t>
      </w:r>
    </w:p>
    <w:p w:rsidR="00503683" w:rsidRPr="00B83CF5" w:rsidRDefault="00503683" w:rsidP="00503683">
      <w:pPr>
        <w:spacing w:before="120"/>
        <w:rPr>
          <w:rFonts w:ascii="Arial" w:hAnsi="Arial" w:cs="Arial"/>
          <w:sz w:val="20"/>
          <w:lang w:val="en-US"/>
        </w:rPr>
      </w:pP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83"/>
    <w:rsid w:val="00503683"/>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DF94D-C4CE-4182-889A-55870301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8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50368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2022-10-29T08:59:00Z</dcterms:created>
  <dcterms:modified xsi:type="dcterms:W3CDTF">2022-10-29T08:59:00Z</dcterms:modified>
</cp:coreProperties>
</file>