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3A" w:rsidRDefault="00AE073A" w:rsidP="00AE073A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7</w:t>
      </w:r>
      <w:r w:rsidRPr="00412711">
        <w:rPr>
          <w:b/>
          <w:sz w:val="26"/>
          <w:szCs w:val="26"/>
          <w:lang w:val="nl-NL"/>
        </w:rPr>
        <w:t>. Bảng cân đối kế toán giữa niên độ (dạng đầy đủ)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3563"/>
        <w:gridCol w:w="6265"/>
      </w:tblGrid>
      <w:tr w:rsidR="00AE073A" w:rsidRPr="00412711" w:rsidTr="00E3478C">
        <w:tc>
          <w:tcPr>
            <w:tcW w:w="3563" w:type="dxa"/>
          </w:tcPr>
          <w:p w:rsidR="00AE073A" w:rsidRPr="00CA669D" w:rsidRDefault="00AE073A" w:rsidP="00E3478C">
            <w:pPr>
              <w:spacing w:line="0" w:lineRule="atLeast"/>
              <w:rPr>
                <w:b/>
                <w:bCs/>
                <w:sz w:val="24"/>
                <w:lang w:val="nl-NL"/>
              </w:rPr>
            </w:pPr>
            <w:r w:rsidRPr="00CA669D">
              <w:rPr>
                <w:b/>
                <w:bCs/>
                <w:sz w:val="24"/>
                <w:lang w:val="nl-NL"/>
              </w:rPr>
              <w:t>Đơn vị báo cáo:………………....</w:t>
            </w:r>
          </w:p>
        </w:tc>
        <w:tc>
          <w:tcPr>
            <w:tcW w:w="6265" w:type="dxa"/>
          </w:tcPr>
          <w:p w:rsidR="00AE073A" w:rsidRPr="00CA669D" w:rsidRDefault="00AE073A" w:rsidP="00E3478C">
            <w:pPr>
              <w:spacing w:line="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 xml:space="preserve">                  </w:t>
            </w:r>
            <w:r>
              <w:rPr>
                <w:b/>
                <w:sz w:val="24"/>
                <w:lang w:val="nl-NL"/>
              </w:rPr>
              <w:t xml:space="preserve">                           </w:t>
            </w:r>
            <w:r w:rsidRPr="00CA669D">
              <w:rPr>
                <w:b/>
                <w:sz w:val="24"/>
                <w:lang w:val="nl-NL"/>
              </w:rPr>
              <w:t>Mẫu số B 01a – DN</w:t>
            </w:r>
          </w:p>
        </w:tc>
      </w:tr>
      <w:tr w:rsidR="00AE073A" w:rsidRPr="00412711" w:rsidTr="00E3478C">
        <w:tc>
          <w:tcPr>
            <w:tcW w:w="3563" w:type="dxa"/>
          </w:tcPr>
          <w:p w:rsidR="00AE073A" w:rsidRPr="00CA669D" w:rsidRDefault="00AE073A" w:rsidP="00E3478C">
            <w:pPr>
              <w:spacing w:line="0" w:lineRule="atLeast"/>
              <w:rPr>
                <w:b/>
                <w:bCs/>
                <w:sz w:val="24"/>
                <w:lang w:val="nl-NL"/>
              </w:rPr>
            </w:pPr>
            <w:r w:rsidRPr="00CA669D">
              <w:rPr>
                <w:b/>
                <w:bCs/>
                <w:sz w:val="24"/>
                <w:lang w:val="nl-NL"/>
              </w:rPr>
              <w:t>Địa chỉ:………………………….</w:t>
            </w:r>
          </w:p>
        </w:tc>
        <w:tc>
          <w:tcPr>
            <w:tcW w:w="6265" w:type="dxa"/>
          </w:tcPr>
          <w:p w:rsidR="00AE073A" w:rsidRPr="0021227D" w:rsidRDefault="00AE073A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AE073A" w:rsidRPr="00CA669D" w:rsidRDefault="00AE073A" w:rsidP="00E3478C">
            <w:pPr>
              <w:spacing w:line="0" w:lineRule="atLeast"/>
              <w:ind w:firstLine="706"/>
              <w:jc w:val="center"/>
              <w:rPr>
                <w:sz w:val="24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AE073A" w:rsidRPr="00412711" w:rsidRDefault="00AE073A" w:rsidP="00AE073A">
      <w:pPr>
        <w:spacing w:line="0" w:lineRule="atLeast"/>
        <w:ind w:left="2160" w:firstLine="720"/>
        <w:jc w:val="both"/>
        <w:rPr>
          <w:b/>
          <w:sz w:val="26"/>
          <w:szCs w:val="26"/>
          <w:lang w:val="nl-NL"/>
        </w:rPr>
      </w:pPr>
    </w:p>
    <w:p w:rsidR="00AE073A" w:rsidRPr="00412711" w:rsidRDefault="00AE073A" w:rsidP="00AE073A">
      <w:pPr>
        <w:spacing w:line="0" w:lineRule="atLeast"/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BẢNG CÂN ĐỐI KẾ TOÁN GIỮA NIÊN ĐỘ</w:t>
      </w:r>
    </w:p>
    <w:p w:rsidR="00AE073A" w:rsidRPr="00412711" w:rsidRDefault="00AE073A" w:rsidP="00AE073A">
      <w:pPr>
        <w:spacing w:line="0" w:lineRule="atLeast"/>
        <w:jc w:val="center"/>
        <w:rPr>
          <w:b/>
          <w:sz w:val="26"/>
          <w:szCs w:val="26"/>
          <w:lang w:val="nl-NL"/>
        </w:rPr>
      </w:pPr>
      <w:bookmarkStart w:id="0" w:name="_GoBack"/>
      <w:bookmarkEnd w:id="0"/>
      <w:r w:rsidRPr="00412711">
        <w:rPr>
          <w:b/>
          <w:sz w:val="26"/>
          <w:szCs w:val="26"/>
          <w:lang w:val="nl-NL"/>
        </w:rPr>
        <w:t>(Dạng đầy đủ)</w:t>
      </w:r>
    </w:p>
    <w:p w:rsidR="00AE073A" w:rsidRPr="00412711" w:rsidRDefault="00AE073A" w:rsidP="00AE073A">
      <w:pPr>
        <w:spacing w:line="0" w:lineRule="atLeast"/>
        <w:jc w:val="center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>Quý.... năm ...</w:t>
      </w:r>
    </w:p>
    <w:p w:rsidR="00AE073A" w:rsidRPr="00412711" w:rsidRDefault="00AE073A" w:rsidP="00AE073A">
      <w:pPr>
        <w:spacing w:line="0" w:lineRule="atLeast"/>
        <w:jc w:val="center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Tại ngày... tháng... năm...</w:t>
      </w:r>
    </w:p>
    <w:p w:rsidR="00AE073A" w:rsidRPr="00412711" w:rsidRDefault="00AE073A" w:rsidP="00AE073A">
      <w:pPr>
        <w:spacing w:line="0" w:lineRule="atLeast"/>
        <w:ind w:left="5760"/>
        <w:jc w:val="right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 xml:space="preserve"> Đơn vị tính:.............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720"/>
        <w:gridCol w:w="1080"/>
        <w:gridCol w:w="1210"/>
        <w:gridCol w:w="2030"/>
      </w:tblGrid>
      <w:tr w:rsidR="00AE073A" w:rsidRPr="00787DB1" w:rsidTr="00E3478C">
        <w:tc>
          <w:tcPr>
            <w:tcW w:w="5148" w:type="dxa"/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i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TÀI SẢN</w:t>
            </w:r>
          </w:p>
        </w:tc>
        <w:tc>
          <w:tcPr>
            <w:tcW w:w="720" w:type="dxa"/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Mã</w:t>
            </w:r>
          </w:p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số</w:t>
            </w:r>
          </w:p>
        </w:tc>
        <w:tc>
          <w:tcPr>
            <w:tcW w:w="1080" w:type="dxa"/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i/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1210" w:type="dxa"/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Số </w:t>
            </w:r>
          </w:p>
          <w:p w:rsidR="00AE073A" w:rsidRPr="007646D7" w:rsidRDefault="00AE073A" w:rsidP="00E3478C">
            <w:pPr>
              <w:spacing w:line="0" w:lineRule="atLeast"/>
              <w:jc w:val="center"/>
              <w:rPr>
                <w:i/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cuối quý</w:t>
            </w:r>
          </w:p>
        </w:tc>
        <w:tc>
          <w:tcPr>
            <w:tcW w:w="2030" w:type="dxa"/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Số </w:t>
            </w:r>
          </w:p>
          <w:p w:rsidR="00AE073A" w:rsidRPr="007646D7" w:rsidRDefault="00AE073A" w:rsidP="00E3478C">
            <w:pPr>
              <w:spacing w:line="0" w:lineRule="atLeast"/>
              <w:jc w:val="center"/>
              <w:rPr>
                <w:i/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đầu năm</w:t>
            </w:r>
          </w:p>
        </w:tc>
      </w:tr>
      <w:tr w:rsidR="00AE073A" w:rsidRPr="00787DB1" w:rsidTr="00E3478C">
        <w:tc>
          <w:tcPr>
            <w:tcW w:w="5148" w:type="dxa"/>
            <w:tcBorders>
              <w:bottom w:val="single" w:sz="4" w:space="0" w:color="auto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AE073A" w:rsidRPr="007646D7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>5</w:t>
            </w:r>
          </w:p>
        </w:tc>
      </w:tr>
      <w:tr w:rsidR="00AE073A" w:rsidRPr="00787DB1" w:rsidTr="00E3478C">
        <w:tc>
          <w:tcPr>
            <w:tcW w:w="5148" w:type="dxa"/>
            <w:tcBorders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  <w:p w:rsidR="00AE073A" w:rsidRPr="00787DB1" w:rsidRDefault="00AE073A" w:rsidP="00E3478C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a - TÀI SẢN NGẮN HẠN (100)=110+120+130+140+150</w:t>
            </w:r>
          </w:p>
        </w:tc>
        <w:tc>
          <w:tcPr>
            <w:tcW w:w="720" w:type="dxa"/>
            <w:tcBorders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100</w:t>
            </w:r>
          </w:p>
        </w:tc>
        <w:tc>
          <w:tcPr>
            <w:tcW w:w="1080" w:type="dxa"/>
            <w:tcBorders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30" w:type="dxa"/>
            <w:tcBorders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AE073A" w:rsidRPr="00787DB1" w:rsidTr="00E3478C">
        <w:tc>
          <w:tcPr>
            <w:tcW w:w="5148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I. Tiền và các khoản tương đương tiền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>110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AE073A" w:rsidRPr="00787DB1" w:rsidTr="00E3478C">
        <w:tc>
          <w:tcPr>
            <w:tcW w:w="5148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87DB1">
              <w:rPr>
                <w:sz w:val="26"/>
                <w:szCs w:val="26"/>
                <w:lang w:val="nl-NL"/>
              </w:rPr>
              <w:t xml:space="preserve">  1.Tiền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787DB1">
              <w:rPr>
                <w:sz w:val="26"/>
                <w:szCs w:val="26"/>
                <w:lang w:val="nl-NL"/>
              </w:rPr>
              <w:t>111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AE073A" w:rsidRPr="00787DB1" w:rsidTr="00E3478C">
        <w:tc>
          <w:tcPr>
            <w:tcW w:w="5148" w:type="dxa"/>
            <w:tcBorders>
              <w:top w:val="nil"/>
            </w:tcBorders>
          </w:tcPr>
          <w:p w:rsidR="00AE073A" w:rsidRPr="00787DB1" w:rsidRDefault="00AE073A" w:rsidP="00E3478C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787DB1">
              <w:rPr>
                <w:b/>
                <w:sz w:val="26"/>
                <w:szCs w:val="26"/>
                <w:lang w:val="nl-NL"/>
              </w:rPr>
              <w:t xml:space="preserve">   ... (*)</w:t>
            </w:r>
          </w:p>
        </w:tc>
        <w:tc>
          <w:tcPr>
            <w:tcW w:w="720" w:type="dxa"/>
            <w:tcBorders>
              <w:top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AE073A" w:rsidRPr="00787DB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:rsidR="00AE073A" w:rsidRPr="00412711" w:rsidRDefault="00AE073A" w:rsidP="00AE073A">
      <w:pPr>
        <w:spacing w:line="0" w:lineRule="atLeast"/>
        <w:rPr>
          <w:i/>
          <w:sz w:val="26"/>
          <w:szCs w:val="26"/>
          <w:lang w:val="nl-NL"/>
        </w:rPr>
      </w:pPr>
    </w:p>
    <w:p w:rsidR="00AE073A" w:rsidRPr="00412711" w:rsidRDefault="00AE073A" w:rsidP="00AE073A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  <w:t xml:space="preserve">                    </w:t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b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AE073A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E073A" w:rsidRPr="0041271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AE073A" w:rsidRPr="0041271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AE073A" w:rsidRPr="00412711" w:rsidRDefault="00AE073A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AE073A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AE073A" w:rsidRPr="00412711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AE073A" w:rsidRPr="00412711" w:rsidRDefault="00AE073A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AE073A" w:rsidRPr="00412711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AE073A" w:rsidRPr="00412711" w:rsidRDefault="00AE073A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AE073A" w:rsidRPr="00412711" w:rsidRDefault="00AE073A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AE073A" w:rsidRDefault="00AE073A" w:rsidP="00AE073A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AE073A" w:rsidRPr="00412711" w:rsidRDefault="00AE073A" w:rsidP="00AE073A">
      <w:pPr>
        <w:spacing w:line="0" w:lineRule="atLeast"/>
        <w:ind w:left="900" w:hanging="90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 w:rsidRPr="00412711">
        <w:rPr>
          <w:i/>
          <w:sz w:val="26"/>
          <w:szCs w:val="26"/>
          <w:lang w:val="nl-NL"/>
        </w:rPr>
        <w:t>(*) Nội dung các chỉ tiêu và mã số trên báo cáo này tương tự như các chỉ tiêu của Bảng cân đối kế toán năm - Mẫu số B01-DN.</w:t>
      </w:r>
    </w:p>
    <w:p w:rsidR="00AE073A" w:rsidRPr="00412711" w:rsidRDefault="00AE073A" w:rsidP="00AE073A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B02D77" w:rsidRDefault="00B02D77"/>
    <w:sectPr w:rsidR="00B0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3A"/>
    <w:rsid w:val="00AE073A"/>
    <w:rsid w:val="00B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F03A0-1A07-4244-A8D9-8482CB79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2022-10-31T09:42:00Z</dcterms:created>
  <dcterms:modified xsi:type="dcterms:W3CDTF">2022-10-31T09:45:00Z</dcterms:modified>
</cp:coreProperties>
</file>