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428"/>
      </w:tblGrid>
      <w:tr w:rsidR="00223E87" w:rsidRPr="00675455" w:rsidTr="001A1648">
        <w:tc>
          <w:tcPr>
            <w:tcW w:w="4320" w:type="dxa"/>
          </w:tcPr>
          <w:p w:rsidR="00223E87" w:rsidRPr="00675455" w:rsidRDefault="00223E87" w:rsidP="001A1648">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223E87" w:rsidRPr="00675455" w:rsidRDefault="00223E87" w:rsidP="001A1648">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223E87" w:rsidRPr="00675455" w:rsidRDefault="00223E87" w:rsidP="001A1648">
            <w:pPr>
              <w:spacing w:before="120"/>
              <w:jc w:val="center"/>
              <w:rPr>
                <w:rFonts w:ascii="Arial" w:hAnsi="Arial" w:cs="Arial"/>
                <w:i/>
                <w:sz w:val="20"/>
              </w:rPr>
            </w:pPr>
            <w:r w:rsidRPr="00675455">
              <w:rPr>
                <w:rFonts w:ascii="Arial" w:hAnsi="Arial" w:cs="Arial"/>
                <w:b/>
                <w:sz w:val="20"/>
              </w:rPr>
              <w:t>Mẫu số B01b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223E87" w:rsidRPr="00675455" w:rsidRDefault="00223E87" w:rsidP="00223E87">
      <w:pPr>
        <w:spacing w:before="120"/>
        <w:rPr>
          <w:rFonts w:ascii="Arial" w:hAnsi="Arial" w:cs="Arial"/>
          <w:sz w:val="20"/>
          <w:highlight w:val="white"/>
        </w:rPr>
      </w:pPr>
    </w:p>
    <w:p w:rsidR="00223E87" w:rsidRPr="00675455" w:rsidRDefault="00223E87" w:rsidP="00223E87">
      <w:pPr>
        <w:spacing w:before="120"/>
        <w:jc w:val="center"/>
        <w:rPr>
          <w:rFonts w:ascii="Arial" w:hAnsi="Arial" w:cs="Arial"/>
          <w:b/>
          <w:sz w:val="20"/>
        </w:rPr>
      </w:pPr>
      <w:r w:rsidRPr="00675455">
        <w:rPr>
          <w:rFonts w:ascii="Arial" w:hAnsi="Arial" w:cs="Arial"/>
          <w:b/>
          <w:sz w:val="20"/>
        </w:rPr>
        <w:t>BÁO CÁO TÌNH HÌNH TÀI CHÍNH</w:t>
      </w:r>
    </w:p>
    <w:p w:rsidR="00223E87" w:rsidRPr="00675455" w:rsidRDefault="00223E87" w:rsidP="00223E87">
      <w:pPr>
        <w:spacing w:before="120"/>
        <w:jc w:val="center"/>
        <w:rPr>
          <w:rFonts w:ascii="Arial" w:hAnsi="Arial" w:cs="Arial"/>
          <w:i/>
          <w:sz w:val="20"/>
        </w:rPr>
      </w:pPr>
      <w:r w:rsidRPr="00675455">
        <w:rPr>
          <w:rFonts w:ascii="Arial" w:hAnsi="Arial" w:cs="Arial"/>
          <w:i/>
          <w:sz w:val="20"/>
        </w:rPr>
        <w:t>Tại ngày ... tháng... năm ...</w:t>
      </w:r>
    </w:p>
    <w:p w:rsidR="00223E87" w:rsidRPr="00675455" w:rsidRDefault="00223E87" w:rsidP="00223E87">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223E87" w:rsidRPr="00675455" w:rsidRDefault="00223E87" w:rsidP="00223E87">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88"/>
        <w:gridCol w:w="836"/>
        <w:gridCol w:w="934"/>
        <w:gridCol w:w="1048"/>
        <w:gridCol w:w="1048"/>
      </w:tblGrid>
      <w:tr w:rsidR="00223E87" w:rsidRPr="00675455" w:rsidTr="001A1648">
        <w:tc>
          <w:tcPr>
            <w:tcW w:w="2934" w:type="pct"/>
            <w:shd w:val="clear" w:color="auto" w:fill="auto"/>
            <w:vAlign w:val="center"/>
          </w:tcPr>
          <w:p w:rsidR="00223E87" w:rsidRPr="00675455" w:rsidRDefault="00223E87" w:rsidP="001A1648">
            <w:pPr>
              <w:spacing w:before="120"/>
              <w:jc w:val="center"/>
              <w:rPr>
                <w:rFonts w:ascii="Arial" w:hAnsi="Arial" w:cs="Arial"/>
                <w:b/>
                <w:sz w:val="20"/>
              </w:rPr>
            </w:pPr>
            <w:r w:rsidRPr="00675455">
              <w:rPr>
                <w:rFonts w:ascii="Arial" w:hAnsi="Arial" w:cs="Arial"/>
                <w:b/>
                <w:sz w:val="20"/>
              </w:rPr>
              <w:t>CHỈ TIÊU</w:t>
            </w:r>
          </w:p>
        </w:tc>
        <w:tc>
          <w:tcPr>
            <w:tcW w:w="447" w:type="pct"/>
            <w:shd w:val="clear" w:color="auto" w:fill="auto"/>
            <w:vAlign w:val="center"/>
          </w:tcPr>
          <w:p w:rsidR="00223E87" w:rsidRPr="00675455" w:rsidRDefault="00223E87" w:rsidP="001A1648">
            <w:pPr>
              <w:spacing w:before="120"/>
              <w:jc w:val="center"/>
              <w:rPr>
                <w:rFonts w:ascii="Arial" w:hAnsi="Arial" w:cs="Arial"/>
                <w:b/>
                <w:sz w:val="20"/>
              </w:rPr>
            </w:pPr>
            <w:r w:rsidRPr="00675455">
              <w:rPr>
                <w:rFonts w:ascii="Arial" w:hAnsi="Arial" w:cs="Arial"/>
                <w:b/>
                <w:sz w:val="20"/>
              </w:rPr>
              <w:t>Mã số</w:t>
            </w:r>
          </w:p>
        </w:tc>
        <w:tc>
          <w:tcPr>
            <w:tcW w:w="499" w:type="pct"/>
            <w:shd w:val="clear" w:color="auto" w:fill="auto"/>
            <w:vAlign w:val="center"/>
          </w:tcPr>
          <w:p w:rsidR="00223E87" w:rsidRPr="00675455" w:rsidRDefault="00223E87" w:rsidP="001A1648">
            <w:pPr>
              <w:spacing w:before="120"/>
              <w:jc w:val="center"/>
              <w:rPr>
                <w:rFonts w:ascii="Arial" w:hAnsi="Arial" w:cs="Arial"/>
                <w:b/>
                <w:sz w:val="20"/>
              </w:rPr>
            </w:pPr>
            <w:r w:rsidRPr="00675455">
              <w:rPr>
                <w:rFonts w:ascii="Arial" w:hAnsi="Arial" w:cs="Arial"/>
                <w:b/>
                <w:sz w:val="20"/>
              </w:rPr>
              <w:t>Thuyết minh</w:t>
            </w:r>
          </w:p>
        </w:tc>
        <w:tc>
          <w:tcPr>
            <w:tcW w:w="560" w:type="pct"/>
            <w:shd w:val="clear" w:color="auto" w:fill="auto"/>
            <w:vAlign w:val="center"/>
          </w:tcPr>
          <w:p w:rsidR="00223E87" w:rsidRPr="00675455" w:rsidRDefault="00223E87" w:rsidP="001A1648">
            <w:pPr>
              <w:spacing w:before="120"/>
              <w:jc w:val="center"/>
              <w:rPr>
                <w:rFonts w:ascii="Arial" w:hAnsi="Arial" w:cs="Arial"/>
                <w:b/>
                <w:sz w:val="20"/>
              </w:rPr>
            </w:pPr>
            <w:r w:rsidRPr="00675455">
              <w:rPr>
                <w:rFonts w:ascii="Arial" w:hAnsi="Arial" w:cs="Arial"/>
                <w:b/>
                <w:sz w:val="20"/>
              </w:rPr>
              <w:t>Số cuối năm</w:t>
            </w:r>
          </w:p>
        </w:tc>
        <w:tc>
          <w:tcPr>
            <w:tcW w:w="560" w:type="pct"/>
            <w:shd w:val="clear" w:color="auto" w:fill="auto"/>
            <w:vAlign w:val="center"/>
          </w:tcPr>
          <w:p w:rsidR="00223E87" w:rsidRPr="00675455" w:rsidRDefault="00223E87" w:rsidP="001A1648">
            <w:pPr>
              <w:spacing w:before="120"/>
              <w:jc w:val="center"/>
              <w:rPr>
                <w:rFonts w:ascii="Arial" w:hAnsi="Arial" w:cs="Arial"/>
                <w:b/>
                <w:sz w:val="20"/>
              </w:rPr>
            </w:pPr>
            <w:r w:rsidRPr="00675455">
              <w:rPr>
                <w:rFonts w:ascii="Arial" w:hAnsi="Arial" w:cs="Arial"/>
                <w:b/>
                <w:sz w:val="20"/>
              </w:rPr>
              <w:t>Số đầu năm</w:t>
            </w:r>
          </w:p>
        </w:tc>
      </w:tr>
      <w:tr w:rsidR="00223E87" w:rsidRPr="00675455" w:rsidTr="001A1648">
        <w:tc>
          <w:tcPr>
            <w:tcW w:w="2934" w:type="pct"/>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w:t>
            </w:r>
          </w:p>
        </w:tc>
        <w:tc>
          <w:tcPr>
            <w:tcW w:w="447" w:type="pct"/>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w:t>
            </w:r>
          </w:p>
        </w:tc>
        <w:tc>
          <w:tcPr>
            <w:tcW w:w="499" w:type="pct"/>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3</w:t>
            </w:r>
          </w:p>
        </w:tc>
        <w:tc>
          <w:tcPr>
            <w:tcW w:w="560" w:type="pct"/>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w:t>
            </w:r>
          </w:p>
        </w:tc>
        <w:tc>
          <w:tcPr>
            <w:tcW w:w="560" w:type="pct"/>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w:t>
            </w:r>
          </w:p>
        </w:tc>
      </w:tr>
      <w:tr w:rsidR="00223E87" w:rsidRPr="00675455" w:rsidTr="001A1648">
        <w:tc>
          <w:tcPr>
            <w:tcW w:w="2934" w:type="pct"/>
            <w:tcBorders>
              <w:bottom w:val="single" w:sz="2" w:space="0" w:color="auto"/>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TÀI SẢN</w:t>
            </w:r>
          </w:p>
        </w:tc>
        <w:tc>
          <w:tcPr>
            <w:tcW w:w="447" w:type="pct"/>
            <w:tcBorders>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499" w:type="pct"/>
            <w:tcBorders>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A - TÀI SẢN NGẮN HẠN</w:t>
            </w:r>
            <w:r w:rsidRPr="00675455">
              <w:rPr>
                <w:rFonts w:ascii="Arial" w:hAnsi="Arial" w:cs="Arial"/>
                <w:b/>
                <w:sz w:val="20"/>
              </w:rPr>
              <w:br/>
              <w:t>(100=110+120+130+140+150)</w:t>
            </w:r>
          </w:p>
        </w:tc>
        <w:tc>
          <w:tcPr>
            <w:tcW w:w="447" w:type="pct"/>
            <w:tcBorders>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100</w:t>
            </w:r>
          </w:p>
        </w:tc>
        <w:tc>
          <w:tcPr>
            <w:tcW w:w="499" w:type="pct"/>
            <w:tcBorders>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 Tiền và các khoản tương đương tiền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110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II. Đầu tư tài chính ngắn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120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121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Dự phòng giảm giá chứng k</w:t>
            </w:r>
            <w:r w:rsidRPr="00675455">
              <w:rPr>
                <w:rFonts w:ascii="Arial" w:hAnsi="Arial" w:cs="Arial"/>
                <w:sz w:val="20"/>
                <w:highlight w:val="white"/>
              </w:rPr>
              <w:t>hoán</w:t>
            </w:r>
            <w:r w:rsidRPr="00675455">
              <w:rPr>
                <w:rFonts w:ascii="Arial" w:hAnsi="Arial" w:cs="Arial"/>
                <w:sz w:val="20"/>
              </w:rPr>
              <w:t xml:space="preserve"> kinh doanh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122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 xml:space="preserve">3. </w:t>
            </w:r>
            <w:r w:rsidRPr="00675455">
              <w:rPr>
                <w:rFonts w:ascii="Arial" w:hAnsi="Arial" w:cs="Arial"/>
                <w:sz w:val="20"/>
                <w:highlight w:val="white"/>
              </w:rPr>
              <w:t>Đầu tư</w:t>
            </w:r>
            <w:r w:rsidRPr="00675455">
              <w:rPr>
                <w:rFonts w:ascii="Arial" w:hAnsi="Arial" w:cs="Arial"/>
                <w:sz w:val="20"/>
              </w:rPr>
              <w:t xml:space="preserve"> nắm giữ đến ngày đáo hạn ngắn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123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III. Các khoản phải thu ngắn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130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Phải thu ngắn hạn của khách hàng</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131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Trả trước cho người bán ngắn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132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3. Phải thu ngắn hạn khác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133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4. Tài sản thiếu chờ xử lý</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134</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5. Dự phòng phải thu ngắn hạn khó đòi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135</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IV. Hàng tồn kho</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140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Hàng tồn kho</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141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Dự phòng giảm giá hàng tồn kho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142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V. Tài sản ngắn hạn khác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150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Thuế GTGT được khấu trừ</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151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single" w:sz="2" w:space="0" w:color="auto"/>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Tài sản ngắn hạn khác</w:t>
            </w:r>
          </w:p>
        </w:tc>
        <w:tc>
          <w:tcPr>
            <w:tcW w:w="447"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152</w:t>
            </w:r>
          </w:p>
        </w:tc>
        <w:tc>
          <w:tcPr>
            <w:tcW w:w="499"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B - TÀI SẢN DÀI HẠN</w:t>
            </w:r>
            <w:r w:rsidRPr="00675455">
              <w:rPr>
                <w:rFonts w:ascii="Arial" w:hAnsi="Arial" w:cs="Arial"/>
                <w:b/>
                <w:sz w:val="20"/>
              </w:rPr>
              <w:br/>
              <w:t>(200=210+220+230+240+250+260)</w:t>
            </w:r>
          </w:p>
        </w:tc>
        <w:tc>
          <w:tcPr>
            <w:tcW w:w="447"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200</w:t>
            </w:r>
          </w:p>
        </w:tc>
        <w:tc>
          <w:tcPr>
            <w:tcW w:w="499"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 Các khoản phải thu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210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Phải thu dài hạn của khách hàng</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211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Trả trước cho người bán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212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3. Vốn kinh doanh ở đơn vị trực thuộc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213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4. Phải thu dài hạn khác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214</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lastRenderedPageBreak/>
              <w:t>5. Dự phòng phải thu dài hạn khó đòi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215</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II. Tài sản cố định</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220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 Nguyên giá</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221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222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III. Bất động sản đầu tư</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230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 Nguyên giá</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231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232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IV. Xây dựng cơ bản dở dang</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240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V. Đầu tư tài chính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250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Đầu tư góp vốn vào đơn vị khác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251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Dự phòng tổn thất đầu tư vào đơn vị khác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252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3. Đầu tư nắm giữ đến ngày đáo hạn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253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single" w:sz="2" w:space="0" w:color="auto"/>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VI. Tài sản dài hạn khác</w:t>
            </w:r>
          </w:p>
        </w:tc>
        <w:tc>
          <w:tcPr>
            <w:tcW w:w="447"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260</w:t>
            </w:r>
          </w:p>
        </w:tc>
        <w:tc>
          <w:tcPr>
            <w:tcW w:w="499"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(300=100+200)</w:t>
            </w:r>
          </w:p>
        </w:tc>
        <w:tc>
          <w:tcPr>
            <w:tcW w:w="447"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300</w:t>
            </w:r>
          </w:p>
        </w:tc>
        <w:tc>
          <w:tcPr>
            <w:tcW w:w="499"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single" w:sz="2" w:space="0" w:color="auto"/>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NGUỒN VỐN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rPr>
          <w:trHeight w:val="533"/>
        </w:trPr>
        <w:tc>
          <w:tcPr>
            <w:tcW w:w="2934"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b/>
                <w:sz w:val="20"/>
              </w:rPr>
              <w:t xml:space="preserve">C- NỢ PHẢI TRẢ </w:t>
            </w:r>
            <w:r w:rsidRPr="00675455">
              <w:rPr>
                <w:rFonts w:ascii="Arial" w:hAnsi="Arial" w:cs="Arial"/>
                <w:b/>
                <w:sz w:val="20"/>
              </w:rPr>
              <w:br/>
              <w:t>(400=410+420)</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b/>
                <w:sz w:val="20"/>
              </w:rPr>
              <w:t>400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vMerge w:val="restart"/>
            <w:tcBorders>
              <w:top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rPr>
          <w:trHeight w:val="52"/>
        </w:trPr>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 Nợ ngắn hạn</w:t>
            </w:r>
          </w:p>
          <w:p w:rsidR="00223E87" w:rsidRPr="00675455" w:rsidRDefault="00223E87" w:rsidP="001A1648">
            <w:pPr>
              <w:spacing w:before="120"/>
              <w:rPr>
                <w:rFonts w:ascii="Arial" w:hAnsi="Arial" w:cs="Arial"/>
                <w:sz w:val="20"/>
              </w:rPr>
            </w:pPr>
            <w:r w:rsidRPr="00675455">
              <w:rPr>
                <w:rFonts w:ascii="Arial" w:hAnsi="Arial" w:cs="Arial"/>
                <w:sz w:val="20"/>
              </w:rPr>
              <w:t>1. Phải trả người bán ngắn hạn</w:t>
            </w:r>
          </w:p>
          <w:p w:rsidR="00223E87" w:rsidRPr="00675455" w:rsidRDefault="00223E87" w:rsidP="001A1648">
            <w:pPr>
              <w:spacing w:before="120"/>
              <w:rPr>
                <w:rFonts w:ascii="Arial" w:hAnsi="Arial" w:cs="Arial"/>
                <w:sz w:val="20"/>
              </w:rPr>
            </w:pPr>
            <w:r w:rsidRPr="00675455">
              <w:rPr>
                <w:rFonts w:ascii="Arial" w:hAnsi="Arial" w:cs="Arial"/>
                <w:sz w:val="20"/>
              </w:rPr>
              <w:t>2. Người mua trả tiền trước ngắn hạn</w:t>
            </w:r>
          </w:p>
          <w:p w:rsidR="00223E87" w:rsidRPr="00675455" w:rsidRDefault="00223E87" w:rsidP="001A1648">
            <w:pPr>
              <w:spacing w:before="120"/>
              <w:rPr>
                <w:rFonts w:ascii="Arial" w:hAnsi="Arial" w:cs="Arial"/>
                <w:sz w:val="20"/>
              </w:rPr>
            </w:pPr>
            <w:r w:rsidRPr="00675455">
              <w:rPr>
                <w:rFonts w:ascii="Arial" w:hAnsi="Arial" w:cs="Arial"/>
                <w:sz w:val="20"/>
              </w:rPr>
              <w:t>3. Thuế và các khoản phải nộp Nhà nước</w:t>
            </w:r>
          </w:p>
          <w:p w:rsidR="00223E87" w:rsidRPr="00675455" w:rsidRDefault="00223E87" w:rsidP="001A1648">
            <w:pPr>
              <w:spacing w:before="120"/>
              <w:rPr>
                <w:rFonts w:ascii="Arial" w:hAnsi="Arial" w:cs="Arial"/>
                <w:sz w:val="20"/>
              </w:rPr>
            </w:pPr>
            <w:r w:rsidRPr="00675455">
              <w:rPr>
                <w:rFonts w:ascii="Arial" w:hAnsi="Arial" w:cs="Arial"/>
                <w:sz w:val="20"/>
              </w:rPr>
              <w:t>4. Phải trả người lao động</w:t>
            </w:r>
          </w:p>
          <w:p w:rsidR="00223E87" w:rsidRPr="00675455" w:rsidRDefault="00223E87" w:rsidP="001A1648">
            <w:pPr>
              <w:spacing w:before="120"/>
              <w:rPr>
                <w:rFonts w:ascii="Arial" w:hAnsi="Arial" w:cs="Arial"/>
                <w:b/>
                <w:sz w:val="20"/>
              </w:rPr>
            </w:pPr>
            <w:r w:rsidRPr="00675455">
              <w:rPr>
                <w:rFonts w:ascii="Arial" w:hAnsi="Arial" w:cs="Arial"/>
                <w:sz w:val="20"/>
              </w:rPr>
              <w:t>5. Phải trả ngắn hạn khác</w:t>
            </w:r>
          </w:p>
          <w:p w:rsidR="00223E87" w:rsidRPr="00675455" w:rsidRDefault="00223E87" w:rsidP="001A1648">
            <w:pPr>
              <w:spacing w:before="120"/>
              <w:rPr>
                <w:rFonts w:ascii="Arial" w:hAnsi="Arial" w:cs="Arial"/>
                <w:sz w:val="20"/>
              </w:rPr>
            </w:pPr>
            <w:r w:rsidRPr="00675455">
              <w:rPr>
                <w:rFonts w:ascii="Arial" w:hAnsi="Arial" w:cs="Arial"/>
                <w:sz w:val="20"/>
              </w:rPr>
              <w:t>6. Vay và nợ thuê tài chính ngắn hạn</w:t>
            </w:r>
          </w:p>
          <w:p w:rsidR="00223E87" w:rsidRPr="00675455" w:rsidRDefault="00223E87" w:rsidP="001A1648">
            <w:pPr>
              <w:spacing w:before="120"/>
              <w:rPr>
                <w:rFonts w:ascii="Arial" w:hAnsi="Arial" w:cs="Arial"/>
                <w:sz w:val="20"/>
              </w:rPr>
            </w:pPr>
            <w:r w:rsidRPr="00675455">
              <w:rPr>
                <w:rFonts w:ascii="Arial" w:hAnsi="Arial" w:cs="Arial"/>
                <w:sz w:val="20"/>
              </w:rPr>
              <w:t>7. Dự phòng phải trả ngắn hạn</w:t>
            </w:r>
          </w:p>
          <w:p w:rsidR="00223E87" w:rsidRPr="00675455" w:rsidRDefault="00223E87" w:rsidP="001A1648">
            <w:pPr>
              <w:spacing w:before="120"/>
              <w:rPr>
                <w:rFonts w:ascii="Arial" w:hAnsi="Arial" w:cs="Arial"/>
                <w:b/>
                <w:sz w:val="20"/>
              </w:rPr>
            </w:pPr>
            <w:r w:rsidRPr="00675455">
              <w:rPr>
                <w:rFonts w:ascii="Arial" w:hAnsi="Arial" w:cs="Arial"/>
                <w:sz w:val="20"/>
              </w:rPr>
              <w:t>8. Quỹ khen thưởng, phúc lợi</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410</w:t>
            </w:r>
          </w:p>
          <w:p w:rsidR="00223E87" w:rsidRPr="00675455" w:rsidRDefault="00223E87" w:rsidP="001A1648">
            <w:pPr>
              <w:spacing w:before="120"/>
              <w:jc w:val="center"/>
              <w:rPr>
                <w:rFonts w:ascii="Arial" w:hAnsi="Arial" w:cs="Arial"/>
                <w:sz w:val="20"/>
              </w:rPr>
            </w:pPr>
            <w:r w:rsidRPr="00675455">
              <w:rPr>
                <w:rFonts w:ascii="Arial" w:hAnsi="Arial" w:cs="Arial"/>
                <w:sz w:val="20"/>
              </w:rPr>
              <w:t>411</w:t>
            </w:r>
          </w:p>
          <w:p w:rsidR="00223E87" w:rsidRPr="00675455" w:rsidRDefault="00223E87" w:rsidP="001A1648">
            <w:pPr>
              <w:spacing w:before="120"/>
              <w:jc w:val="center"/>
              <w:rPr>
                <w:rFonts w:ascii="Arial" w:hAnsi="Arial" w:cs="Arial"/>
                <w:sz w:val="20"/>
              </w:rPr>
            </w:pPr>
            <w:r w:rsidRPr="00675455">
              <w:rPr>
                <w:rFonts w:ascii="Arial" w:hAnsi="Arial" w:cs="Arial"/>
                <w:sz w:val="20"/>
              </w:rPr>
              <w:t>412</w:t>
            </w:r>
          </w:p>
          <w:p w:rsidR="00223E87" w:rsidRPr="00675455" w:rsidRDefault="00223E87" w:rsidP="001A1648">
            <w:pPr>
              <w:spacing w:before="120"/>
              <w:jc w:val="center"/>
              <w:rPr>
                <w:rFonts w:ascii="Arial" w:hAnsi="Arial" w:cs="Arial"/>
                <w:sz w:val="20"/>
              </w:rPr>
            </w:pPr>
            <w:r w:rsidRPr="00675455">
              <w:rPr>
                <w:rFonts w:ascii="Arial" w:hAnsi="Arial" w:cs="Arial"/>
                <w:sz w:val="20"/>
              </w:rPr>
              <w:t>413</w:t>
            </w:r>
          </w:p>
          <w:p w:rsidR="00223E87" w:rsidRPr="00675455" w:rsidRDefault="00223E87" w:rsidP="001A1648">
            <w:pPr>
              <w:spacing w:before="120"/>
              <w:jc w:val="center"/>
              <w:rPr>
                <w:rFonts w:ascii="Arial" w:hAnsi="Arial" w:cs="Arial"/>
                <w:sz w:val="20"/>
              </w:rPr>
            </w:pPr>
            <w:r w:rsidRPr="00675455">
              <w:rPr>
                <w:rFonts w:ascii="Arial" w:hAnsi="Arial" w:cs="Arial"/>
                <w:sz w:val="20"/>
              </w:rPr>
              <w:t>414</w:t>
            </w:r>
          </w:p>
          <w:p w:rsidR="00223E87" w:rsidRPr="00675455" w:rsidRDefault="00223E87" w:rsidP="001A1648">
            <w:pPr>
              <w:spacing w:before="120"/>
              <w:jc w:val="center"/>
              <w:rPr>
                <w:rFonts w:ascii="Arial" w:hAnsi="Arial" w:cs="Arial"/>
                <w:b/>
                <w:sz w:val="20"/>
              </w:rPr>
            </w:pPr>
            <w:r w:rsidRPr="00675455">
              <w:rPr>
                <w:rFonts w:ascii="Arial" w:hAnsi="Arial" w:cs="Arial"/>
                <w:sz w:val="20"/>
              </w:rPr>
              <w:t>415</w:t>
            </w:r>
          </w:p>
          <w:p w:rsidR="00223E87" w:rsidRPr="00675455" w:rsidRDefault="00223E87" w:rsidP="001A1648">
            <w:pPr>
              <w:spacing w:before="120"/>
              <w:jc w:val="center"/>
              <w:rPr>
                <w:rFonts w:ascii="Arial" w:hAnsi="Arial" w:cs="Arial"/>
                <w:sz w:val="20"/>
              </w:rPr>
            </w:pPr>
            <w:r w:rsidRPr="00675455">
              <w:rPr>
                <w:rFonts w:ascii="Arial" w:hAnsi="Arial" w:cs="Arial"/>
                <w:sz w:val="20"/>
              </w:rPr>
              <w:t>416</w:t>
            </w:r>
          </w:p>
          <w:p w:rsidR="00223E87" w:rsidRPr="00675455" w:rsidRDefault="00223E87" w:rsidP="001A1648">
            <w:pPr>
              <w:spacing w:before="120"/>
              <w:jc w:val="center"/>
              <w:rPr>
                <w:rFonts w:ascii="Arial" w:hAnsi="Arial" w:cs="Arial"/>
                <w:sz w:val="20"/>
              </w:rPr>
            </w:pPr>
            <w:r w:rsidRPr="00675455">
              <w:rPr>
                <w:rFonts w:ascii="Arial" w:hAnsi="Arial" w:cs="Arial"/>
                <w:sz w:val="20"/>
              </w:rPr>
              <w:t>417</w:t>
            </w:r>
          </w:p>
          <w:p w:rsidR="00223E87" w:rsidRPr="00675455" w:rsidRDefault="00223E87" w:rsidP="001A1648">
            <w:pPr>
              <w:spacing w:before="120"/>
              <w:jc w:val="center"/>
              <w:rPr>
                <w:rFonts w:ascii="Arial" w:hAnsi="Arial" w:cs="Arial"/>
                <w:b/>
                <w:sz w:val="20"/>
              </w:rPr>
            </w:pPr>
            <w:r w:rsidRPr="00675455">
              <w:rPr>
                <w:rFonts w:ascii="Arial" w:hAnsi="Arial" w:cs="Arial"/>
                <w:sz w:val="20"/>
              </w:rPr>
              <w:t>418</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vMerge/>
            <w:tcBorders>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b/>
                <w:sz w:val="20"/>
              </w:rPr>
            </w:pPr>
            <w:r w:rsidRPr="00675455">
              <w:rPr>
                <w:rFonts w:ascii="Arial" w:hAnsi="Arial" w:cs="Arial"/>
                <w:b/>
                <w:sz w:val="20"/>
              </w:rPr>
              <w:t>II. Nợ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420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Phải trả người bán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2. Người mua trả tiền trước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3. Phải trả nội bộ về vốn kinh doanh</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4. Phải trả dài hạn khác</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424</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5. Vay và nợ thuê tài chính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425</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6. Dự phòng phải trả dài hạn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426</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7. Quỹ phát triển khoa học và công nghệ</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427</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D - VỐN CHỦ SỞ HỮU</w:t>
            </w:r>
            <w:r w:rsidRPr="00675455">
              <w:rPr>
                <w:rFonts w:ascii="Arial" w:hAnsi="Arial" w:cs="Arial"/>
                <w:b/>
                <w:sz w:val="20"/>
              </w:rPr>
              <w:br/>
              <w:t>(500=511+512+513+514+515+516+517)</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500</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1. Vốn góp của chủ sở hữu</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511</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lastRenderedPageBreak/>
              <w:t>2. Thặng dư vốn cổ phần</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512</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3. Vốn khác của chủ sở hữu</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513</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4. Cổ phiếu quỹ (*)</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514</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w:t>
            </w: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5. Chênh lệch tỷ giá hối đoái</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515</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6. Các quỹ thuộc vốn chủ sở hữu</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516</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nil"/>
            </w:tcBorders>
            <w:shd w:val="clear" w:color="auto" w:fill="auto"/>
          </w:tcPr>
          <w:p w:rsidR="00223E87" w:rsidRPr="00675455" w:rsidRDefault="00223E87" w:rsidP="001A1648">
            <w:pPr>
              <w:spacing w:before="120"/>
              <w:rPr>
                <w:rFonts w:ascii="Arial" w:hAnsi="Arial" w:cs="Arial"/>
                <w:sz w:val="20"/>
              </w:rPr>
            </w:pPr>
            <w:r w:rsidRPr="00675455">
              <w:rPr>
                <w:rFonts w:ascii="Arial" w:hAnsi="Arial" w:cs="Arial"/>
                <w:sz w:val="20"/>
              </w:rPr>
              <w:t>7. Lợi nhuận sau thuế chưa phân phối</w:t>
            </w:r>
          </w:p>
        </w:tc>
        <w:tc>
          <w:tcPr>
            <w:tcW w:w="447"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r w:rsidRPr="00675455">
              <w:rPr>
                <w:rFonts w:ascii="Arial" w:hAnsi="Arial" w:cs="Arial"/>
                <w:sz w:val="20"/>
              </w:rPr>
              <w:t>517</w:t>
            </w:r>
          </w:p>
        </w:tc>
        <w:tc>
          <w:tcPr>
            <w:tcW w:w="499"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nil"/>
            </w:tcBorders>
            <w:shd w:val="clear" w:color="auto" w:fill="auto"/>
          </w:tcPr>
          <w:p w:rsidR="00223E87" w:rsidRPr="00675455" w:rsidRDefault="00223E87" w:rsidP="001A1648">
            <w:pPr>
              <w:spacing w:before="120"/>
              <w:jc w:val="center"/>
              <w:rPr>
                <w:rFonts w:ascii="Arial" w:hAnsi="Arial" w:cs="Arial"/>
                <w:sz w:val="20"/>
              </w:rPr>
            </w:pPr>
          </w:p>
        </w:tc>
      </w:tr>
      <w:tr w:rsidR="00223E87" w:rsidRPr="00675455" w:rsidTr="001A1648">
        <w:tc>
          <w:tcPr>
            <w:tcW w:w="2934"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TỔNG CỘNG NGUỒN VỐN</w:t>
            </w:r>
            <w:r w:rsidRPr="00675455">
              <w:rPr>
                <w:rFonts w:ascii="Arial" w:hAnsi="Arial" w:cs="Arial"/>
                <w:b/>
                <w:sz w:val="20"/>
              </w:rPr>
              <w:br/>
              <w:t>(600=400+500)</w:t>
            </w:r>
          </w:p>
        </w:tc>
        <w:tc>
          <w:tcPr>
            <w:tcW w:w="447"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b/>
                <w:sz w:val="20"/>
              </w:rPr>
            </w:pPr>
            <w:r w:rsidRPr="00675455">
              <w:rPr>
                <w:rFonts w:ascii="Arial" w:hAnsi="Arial" w:cs="Arial"/>
                <w:b/>
                <w:sz w:val="20"/>
              </w:rPr>
              <w:t>600</w:t>
            </w:r>
          </w:p>
        </w:tc>
        <w:tc>
          <w:tcPr>
            <w:tcW w:w="499"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c>
          <w:tcPr>
            <w:tcW w:w="560" w:type="pct"/>
            <w:tcBorders>
              <w:top w:val="nil"/>
              <w:bottom w:val="single" w:sz="2" w:space="0" w:color="auto"/>
            </w:tcBorders>
            <w:shd w:val="clear" w:color="auto" w:fill="auto"/>
          </w:tcPr>
          <w:p w:rsidR="00223E87" w:rsidRPr="00675455" w:rsidRDefault="00223E87" w:rsidP="001A1648">
            <w:pPr>
              <w:spacing w:before="120"/>
              <w:jc w:val="center"/>
              <w:rPr>
                <w:rFonts w:ascii="Arial" w:hAnsi="Arial" w:cs="Arial"/>
                <w:sz w:val="20"/>
              </w:rPr>
            </w:pPr>
          </w:p>
        </w:tc>
      </w:tr>
    </w:tbl>
    <w:p w:rsidR="00223E87" w:rsidRPr="00675455" w:rsidRDefault="00223E87" w:rsidP="00223E87">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223E87" w:rsidRPr="00675455" w:rsidTr="001A1648">
        <w:tc>
          <w:tcPr>
            <w:tcW w:w="2268" w:type="dxa"/>
          </w:tcPr>
          <w:p w:rsidR="00223E87" w:rsidRPr="00675455" w:rsidRDefault="00223E87"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223E87" w:rsidRPr="00675455" w:rsidRDefault="00223E87"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223E87" w:rsidRPr="00675455" w:rsidRDefault="00223E87" w:rsidP="001A1648">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223E87" w:rsidRPr="00675455" w:rsidRDefault="00223E87" w:rsidP="00223E87">
      <w:pPr>
        <w:spacing w:before="120"/>
        <w:rPr>
          <w:rFonts w:ascii="Arial" w:hAnsi="Arial" w:cs="Arial"/>
          <w:b/>
          <w:i/>
          <w:sz w:val="20"/>
        </w:rPr>
      </w:pPr>
      <w:r w:rsidRPr="00675455">
        <w:rPr>
          <w:rFonts w:ascii="Arial" w:hAnsi="Arial" w:cs="Arial"/>
          <w:b/>
          <w:i/>
          <w:sz w:val="20"/>
        </w:rPr>
        <w:t>Ghi chú:</w:t>
      </w:r>
    </w:p>
    <w:p w:rsidR="00223E87" w:rsidRPr="00675455" w:rsidRDefault="00223E87" w:rsidP="00223E87">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223E87" w:rsidRPr="00675455" w:rsidRDefault="00223E87" w:rsidP="00223E87">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223E87" w:rsidRPr="00675455" w:rsidRDefault="00223E87" w:rsidP="00223E87">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223E87" w:rsidRPr="00675455" w:rsidRDefault="00223E87" w:rsidP="00223E87">
      <w:pPr>
        <w:spacing w:before="120"/>
        <w:rPr>
          <w:rFonts w:ascii="Arial" w:hAnsi="Arial" w:cs="Arial"/>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223E87" w:rsidRPr="00675455" w:rsidRDefault="00223E87" w:rsidP="00223E87">
      <w:pPr>
        <w:spacing w:before="120"/>
        <w:rPr>
          <w:rFonts w:ascii="Arial" w:hAnsi="Arial" w:cs="Arial"/>
          <w:sz w:val="20"/>
        </w:rPr>
      </w:pPr>
    </w:p>
    <w:p w:rsidR="00923F07" w:rsidRDefault="00923F07">
      <w:bookmarkStart w:id="0" w:name="_GoBack"/>
      <w:bookmarkEnd w:id="0"/>
    </w:p>
    <w:sectPr w:rsidR="0092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87"/>
    <w:rsid w:val="00223E87"/>
    <w:rsid w:val="0092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55815-5216-4F62-800C-592D74B6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8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E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223E8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2022-10-28T15:26:00Z</dcterms:created>
  <dcterms:modified xsi:type="dcterms:W3CDTF">2022-10-28T15:26:00Z</dcterms:modified>
</cp:coreProperties>
</file>