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01B0" w:rsidRDefault="004901B0" w:rsidP="004901B0">
      <w:pPr>
        <w:spacing w:after="120"/>
        <w:jc w:val="center"/>
      </w:pPr>
      <w:bookmarkStart w:id="0" w:name="chuong_pl_1"/>
      <w:r>
        <w:rPr>
          <w:b/>
          <w:bCs/>
        </w:rPr>
        <w:t>PHỤ LỤC I</w:t>
      </w:r>
      <w:bookmarkEnd w:id="0"/>
    </w:p>
    <w:p w:rsidR="004901B0" w:rsidRDefault="004901B0" w:rsidP="004901B0">
      <w:pPr>
        <w:spacing w:after="120"/>
        <w:jc w:val="center"/>
      </w:pPr>
      <w:bookmarkStart w:id="1" w:name="chuong_pl_1_name"/>
      <w:r>
        <w:t>TIÊU CHÍ ĐÁNH GIÁ MỨC ĐỘ TUÂN THỦ PHÁP LUẬT THUẾ CỦA NGƯỜI NỘP THUẾ</w:t>
      </w:r>
      <w:bookmarkEnd w:id="1"/>
      <w:r>
        <w:rPr>
          <w:b/>
          <w:bCs/>
        </w:rPr>
        <w:br/>
      </w:r>
      <w:r>
        <w:rPr>
          <w:i/>
          <w:iCs/>
        </w:rPr>
        <w:t>(Ban hành kèm theo Thông tư số 31/2021/TT-BTC ngày 17 tháng 5 năm 2021 của Bộ trưởng Bộ Tài chính)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30"/>
        <w:gridCol w:w="2983"/>
        <w:gridCol w:w="5722"/>
      </w:tblGrid>
      <w:tr w:rsidR="004901B0" w:rsidTr="001C5CC0">
        <w:trPr>
          <w:trHeight w:val="624"/>
        </w:trPr>
        <w:tc>
          <w:tcPr>
            <w:tcW w:w="70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rPr>
                <w:b/>
                <w:bCs/>
              </w:rPr>
              <w:t>Stt</w:t>
            </w:r>
          </w:p>
        </w:tc>
        <w:tc>
          <w:tcPr>
            <w:tcW w:w="428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rPr>
                <w:b/>
                <w:bCs/>
              </w:rPr>
              <w:t>Nhóm tiêu chí</w:t>
            </w:r>
          </w:p>
        </w:tc>
        <w:tc>
          <w:tcPr>
            <w:tcW w:w="869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rPr>
                <w:b/>
                <w:bCs/>
              </w:rPr>
              <w:t>Tiêu chí</w:t>
            </w:r>
          </w:p>
        </w:tc>
      </w:tr>
      <w:tr w:rsidR="004901B0" w:rsidTr="001C5CC0">
        <w:tblPrEx>
          <w:tblBorders>
            <w:top w:val="none" w:sz="0" w:space="0" w:color="auto"/>
            <w:bottom w:val="none" w:sz="0" w:space="0" w:color="auto"/>
            <w:insideH w:val="none" w:sz="0" w:space="0" w:color="auto"/>
            <w:insideV w:val="none" w:sz="0" w:space="0" w:color="auto"/>
          </w:tblBorders>
        </w:tblPrEx>
        <w:trPr>
          <w:trHeight w:val="357"/>
        </w:trPr>
        <w:tc>
          <w:tcPr>
            <w:tcW w:w="70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rPr>
                <w:i/>
                <w:iCs/>
              </w:rPr>
              <w:t>(1)</w:t>
            </w:r>
          </w:p>
        </w:tc>
        <w:tc>
          <w:tcPr>
            <w:tcW w:w="42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rPr>
                <w:i/>
                <w:iCs/>
              </w:rPr>
              <w:t>(2)</w:t>
            </w:r>
          </w:p>
        </w:tc>
        <w:tc>
          <w:tcPr>
            <w:tcW w:w="869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rPr>
                <w:i/>
                <w:iCs/>
              </w:rPr>
              <w:t>(3)</w:t>
            </w:r>
          </w:p>
        </w:tc>
      </w:tr>
      <w:tr w:rsidR="004901B0" w:rsidTr="001C5CC0">
        <w:tblPrEx>
          <w:tblBorders>
            <w:top w:val="none" w:sz="0" w:space="0" w:color="auto"/>
            <w:bottom w:val="none" w:sz="0" w:space="0" w:color="auto"/>
            <w:insideH w:val="none" w:sz="0" w:space="0" w:color="auto"/>
            <w:insideV w:val="none" w:sz="0" w:space="0" w:color="auto"/>
          </w:tblBorders>
        </w:tblPrEx>
        <w:tc>
          <w:tcPr>
            <w:tcW w:w="70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t>1</w:t>
            </w:r>
          </w:p>
        </w:tc>
        <w:tc>
          <w:tcPr>
            <w:tcW w:w="42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r>
              <w:t>Trạng thái hoạt động của người nộp thuế</w:t>
            </w:r>
          </w:p>
        </w:tc>
        <w:tc>
          <w:tcPr>
            <w:tcW w:w="869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r>
              <w:t>Người nộp thuế đang hoạt động và không thuộc diện bị cơ quan thuế ban hành thông báo người nộp thuế không hoạt động tại địa chỉ đã đăng ký với cơ quan thuế trong thời gian hai (02) năm trở về trước tính từ thời điểm đánh giá</w:t>
            </w:r>
          </w:p>
        </w:tc>
      </w:tr>
      <w:tr w:rsidR="004901B0" w:rsidTr="001C5CC0">
        <w:tblPrEx>
          <w:tblBorders>
            <w:top w:val="none" w:sz="0" w:space="0" w:color="auto"/>
            <w:bottom w:val="none" w:sz="0" w:space="0" w:color="auto"/>
            <w:insideH w:val="none" w:sz="0" w:space="0" w:color="auto"/>
            <w:insideV w:val="none" w:sz="0" w:space="0" w:color="auto"/>
          </w:tblBorders>
        </w:tblPrEx>
        <w:tc>
          <w:tcPr>
            <w:tcW w:w="70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t>2</w:t>
            </w:r>
          </w:p>
        </w:tc>
        <w:tc>
          <w:tcPr>
            <w:tcW w:w="42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r>
              <w:t>Thực hiện việc kê khai và nộp các loại thuế phát sinh theo quy định</w:t>
            </w:r>
          </w:p>
        </w:tc>
        <w:tc>
          <w:tcPr>
            <w:tcW w:w="869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r>
              <w:t xml:space="preserve">Thực hiện việc kê khai và nộp các loại thuế phát sinh theo quy định trong thời gian hai (02) năm trở về trước tính từ thời điểm đánh giá </w:t>
            </w:r>
          </w:p>
        </w:tc>
      </w:tr>
      <w:tr w:rsidR="004901B0" w:rsidTr="001C5CC0">
        <w:tblPrEx>
          <w:tblBorders>
            <w:top w:val="none" w:sz="0" w:space="0" w:color="auto"/>
            <w:bottom w:val="none" w:sz="0" w:space="0" w:color="auto"/>
            <w:insideH w:val="none" w:sz="0" w:space="0" w:color="auto"/>
            <w:insideV w:val="none" w:sz="0" w:space="0" w:color="auto"/>
          </w:tblBorders>
        </w:tblPrEx>
        <w:tc>
          <w:tcPr>
            <w:tcW w:w="70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t>3</w:t>
            </w:r>
          </w:p>
        </w:tc>
        <w:tc>
          <w:tcPr>
            <w:tcW w:w="42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r>
              <w:t>Chấp hành chế độ quản lý, sử dụng hóa đơn, chứng từ</w:t>
            </w:r>
          </w:p>
        </w:tc>
        <w:tc>
          <w:tcPr>
            <w:tcW w:w="869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r>
              <w:t>Chấp hành chế độ quản lý, sử dụng hóa đơn, chứng từ theo quy định trong thời gian hai (02) năm trở về trước tính từ thời điểm đánh giá</w:t>
            </w:r>
          </w:p>
        </w:tc>
      </w:tr>
      <w:tr w:rsidR="004901B0" w:rsidTr="001C5CC0">
        <w:tblPrEx>
          <w:tblBorders>
            <w:top w:val="none" w:sz="0" w:space="0" w:color="auto"/>
            <w:bottom w:val="none" w:sz="0" w:space="0" w:color="auto"/>
            <w:insideH w:val="none" w:sz="0" w:space="0" w:color="auto"/>
            <w:insideV w:val="none" w:sz="0" w:space="0" w:color="auto"/>
          </w:tblBorders>
        </w:tblPrEx>
        <w:tc>
          <w:tcPr>
            <w:tcW w:w="70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t>4</w:t>
            </w:r>
          </w:p>
        </w:tc>
        <w:tc>
          <w:tcPr>
            <w:tcW w:w="4284" w:type="dxa"/>
            <w:vMerge w:val="restar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r>
              <w:t xml:space="preserve">Hành vi vi phạm hành chính </w:t>
            </w:r>
          </w:p>
        </w:tc>
        <w:tc>
          <w:tcPr>
            <w:tcW w:w="869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r>
              <w:t xml:space="preserve">Người nộp thuế bị xử phạt vi phạm hành chính về thuế, hóa đơn trong thời gian hai (02) năm trở về trước tính từ thời điểm đánh giá </w:t>
            </w:r>
          </w:p>
        </w:tc>
      </w:tr>
      <w:tr w:rsidR="004901B0" w:rsidTr="001C5CC0">
        <w:tblPrEx>
          <w:tblBorders>
            <w:top w:val="none" w:sz="0" w:space="0" w:color="auto"/>
            <w:bottom w:val="none" w:sz="0" w:space="0" w:color="auto"/>
            <w:insideH w:val="none" w:sz="0" w:space="0" w:color="auto"/>
            <w:insideV w:val="none" w:sz="0" w:space="0" w:color="auto"/>
          </w:tblBorders>
        </w:tblPrEx>
        <w:tc>
          <w:tcPr>
            <w:tcW w:w="70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t>5</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901B0" w:rsidRDefault="004901B0" w:rsidP="001C5CC0">
            <w:pPr>
              <w:jc w:val="center"/>
            </w:pPr>
          </w:p>
        </w:tc>
        <w:tc>
          <w:tcPr>
            <w:tcW w:w="869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r>
              <w:t xml:space="preserve">Người nộp thuế bị xử phạt vi phạm hành chính về các hành vi </w:t>
            </w:r>
            <w:r>
              <w:rPr>
                <w:lang w:val="en-AU"/>
              </w:rPr>
              <w:t>thiếu thuế,</w:t>
            </w:r>
            <w:r>
              <w:t xml:space="preserve"> trốn thuế trong thời gian hai (02) năm trở về trước tính từ thời điểm đánh giá</w:t>
            </w:r>
          </w:p>
        </w:tc>
      </w:tr>
      <w:tr w:rsidR="004901B0" w:rsidTr="001C5CC0">
        <w:tblPrEx>
          <w:tblBorders>
            <w:top w:val="none" w:sz="0" w:space="0" w:color="auto"/>
            <w:bottom w:val="none" w:sz="0" w:space="0" w:color="auto"/>
            <w:insideH w:val="none" w:sz="0" w:space="0" w:color="auto"/>
            <w:insideV w:val="none" w:sz="0" w:space="0" w:color="auto"/>
          </w:tblBorders>
        </w:tblPrEx>
        <w:tc>
          <w:tcPr>
            <w:tcW w:w="70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t>6</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901B0" w:rsidRDefault="004901B0" w:rsidP="001C5CC0">
            <w:pPr>
              <w:jc w:val="center"/>
            </w:pPr>
          </w:p>
        </w:tc>
        <w:tc>
          <w:tcPr>
            <w:tcW w:w="869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r>
              <w:t xml:space="preserve">Người nộp thuế có hành vi sử dụng hóa đơn không hợp pháp, sử dụng không hợp pháp hóa đơn trong thời gian hai (02) năm trở về trước tính từ thời điểm đánh giá </w:t>
            </w:r>
          </w:p>
        </w:tc>
      </w:tr>
      <w:tr w:rsidR="004901B0" w:rsidTr="001C5CC0">
        <w:tblPrEx>
          <w:tblBorders>
            <w:top w:val="none" w:sz="0" w:space="0" w:color="auto"/>
            <w:bottom w:val="none" w:sz="0" w:space="0" w:color="auto"/>
            <w:insideH w:val="none" w:sz="0" w:space="0" w:color="auto"/>
            <w:insideV w:val="none" w:sz="0" w:space="0" w:color="auto"/>
          </w:tblBorders>
        </w:tblPrEx>
        <w:trPr>
          <w:trHeight w:val="1510"/>
        </w:trPr>
        <w:tc>
          <w:tcPr>
            <w:tcW w:w="70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t>7</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901B0" w:rsidRDefault="004901B0" w:rsidP="001C5CC0">
            <w:pPr>
              <w:jc w:val="center"/>
            </w:pPr>
          </w:p>
        </w:tc>
        <w:tc>
          <w:tcPr>
            <w:tcW w:w="869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r>
              <w:t>Người nộp thuế bị cơ quan quản lý thuế xử lý vi phạm hành chính về hành vi không chấp hành quyết định kiểm tra, thanh tra thuế, cưỡng chế thi hành quyết định hành chính thuế trong thời gian hai (02) năm trở về trước tính từ thời điểm đánh giá</w:t>
            </w:r>
          </w:p>
        </w:tc>
      </w:tr>
      <w:tr w:rsidR="004901B0" w:rsidTr="001C5CC0">
        <w:tblPrEx>
          <w:tblBorders>
            <w:top w:val="none" w:sz="0" w:space="0" w:color="auto"/>
            <w:bottom w:val="none" w:sz="0" w:space="0" w:color="auto"/>
            <w:insideH w:val="none" w:sz="0" w:space="0" w:color="auto"/>
            <w:insideV w:val="none" w:sz="0" w:space="0" w:color="auto"/>
          </w:tblBorders>
        </w:tblPrEx>
        <w:tc>
          <w:tcPr>
            <w:tcW w:w="70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t>8</w:t>
            </w:r>
          </w:p>
        </w:tc>
        <w:tc>
          <w:tcPr>
            <w:tcW w:w="42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t>Tình hình nợ thuế</w:t>
            </w:r>
          </w:p>
        </w:tc>
        <w:tc>
          <w:tcPr>
            <w:tcW w:w="869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r>
              <w:t>Số tiền thuế nợ và số ngày chậm nộp của các khoản tiền thuế nợ của người nộp thuế tại thời điểm đánh giá</w:t>
            </w:r>
          </w:p>
        </w:tc>
      </w:tr>
      <w:tr w:rsidR="004901B0" w:rsidTr="001C5CC0">
        <w:tblPrEx>
          <w:tblBorders>
            <w:top w:val="none" w:sz="0" w:space="0" w:color="auto"/>
            <w:bottom w:val="none" w:sz="0" w:space="0" w:color="auto"/>
            <w:insideH w:val="none" w:sz="0" w:space="0" w:color="auto"/>
            <w:insideV w:val="none" w:sz="0" w:space="0" w:color="auto"/>
          </w:tblBorders>
        </w:tblPrEx>
        <w:tc>
          <w:tcPr>
            <w:tcW w:w="70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t>9</w:t>
            </w:r>
          </w:p>
        </w:tc>
        <w:tc>
          <w:tcPr>
            <w:tcW w:w="42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pPr>
              <w:jc w:val="center"/>
            </w:pPr>
            <w:r>
              <w:t>Nhóm tiêu chí khác</w:t>
            </w:r>
          </w:p>
        </w:tc>
        <w:tc>
          <w:tcPr>
            <w:tcW w:w="869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901B0" w:rsidRDefault="004901B0" w:rsidP="001C5CC0">
            <w:r>
              <w:t>Tiêu chí khác theo quy định của các văn bản có liên quan</w:t>
            </w:r>
          </w:p>
        </w:tc>
      </w:tr>
    </w:tbl>
    <w:p w:rsidR="005A58E2" w:rsidRDefault="005A58E2"/>
    <w:sectPr w:rsidR="005A58E2"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B0"/>
    <w:rsid w:val="000D5C11"/>
    <w:rsid w:val="001D0225"/>
    <w:rsid w:val="004901B0"/>
    <w:rsid w:val="005A58E2"/>
    <w:rsid w:val="009478DF"/>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32F4E-0C8A-4A47-BFE4-CC682B24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B0"/>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4901B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01B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1B0"/>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1B0"/>
    <w:pPr>
      <w:keepNext/>
      <w:keepLines/>
      <w:spacing w:before="80" w:after="40" w:line="259" w:lineRule="auto"/>
      <w:outlineLvl w:val="3"/>
    </w:pPr>
    <w:rPr>
      <w:rFonts w:asciiTheme="minorHAnsi" w:eastAsiaTheme="majorEastAsia" w:hAnsiTheme="minorHAnsi" w:cstheme="majorBidi"/>
      <w:i/>
      <w:iCs/>
      <w:color w:val="2F5496" w:themeColor="accent1" w:themeShade="BF"/>
      <w:sz w:val="28"/>
      <w:szCs w:val="22"/>
    </w:rPr>
  </w:style>
  <w:style w:type="paragraph" w:styleId="Heading5">
    <w:name w:val="heading 5"/>
    <w:basedOn w:val="Normal"/>
    <w:next w:val="Normal"/>
    <w:link w:val="Heading5Char"/>
    <w:uiPriority w:val="9"/>
    <w:semiHidden/>
    <w:unhideWhenUsed/>
    <w:qFormat/>
    <w:rsid w:val="004901B0"/>
    <w:pPr>
      <w:keepNext/>
      <w:keepLines/>
      <w:spacing w:before="80" w:after="40" w:line="259" w:lineRule="auto"/>
      <w:outlineLvl w:val="4"/>
    </w:pPr>
    <w:rPr>
      <w:rFonts w:asciiTheme="minorHAnsi" w:eastAsiaTheme="majorEastAsia" w:hAnsiTheme="minorHAnsi" w:cstheme="majorBidi"/>
      <w:color w:val="2F5496" w:themeColor="accent1" w:themeShade="BF"/>
      <w:sz w:val="28"/>
      <w:szCs w:val="22"/>
    </w:rPr>
  </w:style>
  <w:style w:type="paragraph" w:styleId="Heading6">
    <w:name w:val="heading 6"/>
    <w:basedOn w:val="Normal"/>
    <w:next w:val="Normal"/>
    <w:link w:val="Heading6Char"/>
    <w:uiPriority w:val="9"/>
    <w:semiHidden/>
    <w:unhideWhenUsed/>
    <w:qFormat/>
    <w:rsid w:val="004901B0"/>
    <w:pPr>
      <w:keepNext/>
      <w:keepLines/>
      <w:spacing w:before="40" w:line="259" w:lineRule="auto"/>
      <w:outlineLvl w:val="5"/>
    </w:pPr>
    <w:rPr>
      <w:rFonts w:asciiTheme="minorHAnsi" w:eastAsiaTheme="majorEastAsia" w:hAnsiTheme="minorHAnsi" w:cstheme="majorBidi"/>
      <w:i/>
      <w:iCs/>
      <w:color w:val="595959" w:themeColor="text1" w:themeTint="A6"/>
      <w:sz w:val="28"/>
      <w:szCs w:val="22"/>
    </w:rPr>
  </w:style>
  <w:style w:type="paragraph" w:styleId="Heading7">
    <w:name w:val="heading 7"/>
    <w:basedOn w:val="Normal"/>
    <w:next w:val="Normal"/>
    <w:link w:val="Heading7Char"/>
    <w:uiPriority w:val="9"/>
    <w:semiHidden/>
    <w:unhideWhenUsed/>
    <w:qFormat/>
    <w:rsid w:val="004901B0"/>
    <w:pPr>
      <w:keepNext/>
      <w:keepLines/>
      <w:spacing w:before="40" w:line="259" w:lineRule="auto"/>
      <w:outlineLvl w:val="6"/>
    </w:pPr>
    <w:rPr>
      <w:rFonts w:asciiTheme="minorHAnsi" w:eastAsiaTheme="majorEastAsia" w:hAnsiTheme="minorHAnsi" w:cstheme="majorBidi"/>
      <w:color w:val="595959" w:themeColor="text1" w:themeTint="A6"/>
      <w:sz w:val="28"/>
      <w:szCs w:val="22"/>
    </w:rPr>
  </w:style>
  <w:style w:type="paragraph" w:styleId="Heading8">
    <w:name w:val="heading 8"/>
    <w:basedOn w:val="Normal"/>
    <w:next w:val="Normal"/>
    <w:link w:val="Heading8Char"/>
    <w:uiPriority w:val="9"/>
    <w:semiHidden/>
    <w:unhideWhenUsed/>
    <w:qFormat/>
    <w:rsid w:val="004901B0"/>
    <w:pPr>
      <w:keepNext/>
      <w:keepLines/>
      <w:spacing w:line="259" w:lineRule="auto"/>
      <w:outlineLvl w:val="7"/>
    </w:pPr>
    <w:rPr>
      <w:rFonts w:asciiTheme="minorHAnsi" w:eastAsiaTheme="majorEastAsia" w:hAnsiTheme="minorHAnsi" w:cstheme="majorBidi"/>
      <w:i/>
      <w:iCs/>
      <w:color w:val="272727" w:themeColor="text1" w:themeTint="D8"/>
      <w:sz w:val="28"/>
      <w:szCs w:val="22"/>
    </w:rPr>
  </w:style>
  <w:style w:type="paragraph" w:styleId="Heading9">
    <w:name w:val="heading 9"/>
    <w:basedOn w:val="Normal"/>
    <w:next w:val="Normal"/>
    <w:link w:val="Heading9Char"/>
    <w:uiPriority w:val="9"/>
    <w:semiHidden/>
    <w:unhideWhenUsed/>
    <w:qFormat/>
    <w:rsid w:val="004901B0"/>
    <w:pPr>
      <w:keepNext/>
      <w:keepLines/>
      <w:spacing w:line="259" w:lineRule="auto"/>
      <w:outlineLvl w:val="8"/>
    </w:pPr>
    <w:rPr>
      <w:rFonts w:asciiTheme="minorHAnsi" w:eastAsiaTheme="majorEastAsia" w:hAnsiTheme="minorHAnsi" w:cstheme="majorBidi"/>
      <w:color w:val="272727" w:themeColor="text1" w:themeTint="D8"/>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1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01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1B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901B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901B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901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01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01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01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01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1B0"/>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1B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901B0"/>
    <w:pPr>
      <w:spacing w:before="160" w:after="160" w:line="259" w:lineRule="auto"/>
      <w:jc w:val="center"/>
    </w:pPr>
    <w:rPr>
      <w:rFonts w:eastAsiaTheme="minorHAnsi" w:cstheme="minorBidi"/>
      <w:i/>
      <w:iCs/>
      <w:color w:val="404040" w:themeColor="text1" w:themeTint="BF"/>
      <w:sz w:val="28"/>
      <w:szCs w:val="22"/>
    </w:rPr>
  </w:style>
  <w:style w:type="character" w:customStyle="1" w:styleId="QuoteChar">
    <w:name w:val="Quote Char"/>
    <w:basedOn w:val="DefaultParagraphFont"/>
    <w:link w:val="Quote"/>
    <w:uiPriority w:val="29"/>
    <w:rsid w:val="004901B0"/>
    <w:rPr>
      <w:i/>
      <w:iCs/>
      <w:color w:val="404040" w:themeColor="text1" w:themeTint="BF"/>
    </w:rPr>
  </w:style>
  <w:style w:type="paragraph" w:styleId="ListParagraph">
    <w:name w:val="List Paragraph"/>
    <w:basedOn w:val="Normal"/>
    <w:uiPriority w:val="34"/>
    <w:qFormat/>
    <w:rsid w:val="004901B0"/>
    <w:pPr>
      <w:spacing w:after="160" w:line="259" w:lineRule="auto"/>
      <w:ind w:left="720"/>
      <w:contextualSpacing/>
    </w:pPr>
    <w:rPr>
      <w:rFonts w:eastAsiaTheme="minorHAnsi" w:cstheme="minorBidi"/>
      <w:sz w:val="28"/>
      <w:szCs w:val="22"/>
    </w:rPr>
  </w:style>
  <w:style w:type="character" w:styleId="IntenseEmphasis">
    <w:name w:val="Intense Emphasis"/>
    <w:basedOn w:val="DefaultParagraphFont"/>
    <w:uiPriority w:val="21"/>
    <w:qFormat/>
    <w:rsid w:val="004901B0"/>
    <w:rPr>
      <w:i/>
      <w:iCs/>
      <w:color w:val="2F5496" w:themeColor="accent1" w:themeShade="BF"/>
    </w:rPr>
  </w:style>
  <w:style w:type="paragraph" w:styleId="IntenseQuote">
    <w:name w:val="Intense Quote"/>
    <w:basedOn w:val="Normal"/>
    <w:next w:val="Normal"/>
    <w:link w:val="IntenseQuoteChar"/>
    <w:uiPriority w:val="30"/>
    <w:qFormat/>
    <w:rsid w:val="004901B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8"/>
      <w:szCs w:val="22"/>
    </w:rPr>
  </w:style>
  <w:style w:type="character" w:customStyle="1" w:styleId="IntenseQuoteChar">
    <w:name w:val="Intense Quote Char"/>
    <w:basedOn w:val="DefaultParagraphFont"/>
    <w:link w:val="IntenseQuote"/>
    <w:uiPriority w:val="30"/>
    <w:rsid w:val="004901B0"/>
    <w:rPr>
      <w:i/>
      <w:iCs/>
      <w:color w:val="2F5496" w:themeColor="accent1" w:themeShade="BF"/>
    </w:rPr>
  </w:style>
  <w:style w:type="character" w:styleId="IntenseReference">
    <w:name w:val="Intense Reference"/>
    <w:basedOn w:val="DefaultParagraphFont"/>
    <w:uiPriority w:val="32"/>
    <w:qFormat/>
    <w:rsid w:val="00490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2025-01-16T18:06:00Z</dcterms:created>
  <dcterms:modified xsi:type="dcterms:W3CDTF">2025-01-16T18:06:00Z</dcterms:modified>
</cp:coreProperties>
</file>