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3" w:lineRule="auto"/>
        <w:jc w:val="center"/>
        <w:rPr>
          <w:b w:val="1"/>
          <w:sz w:val="20"/>
          <w:szCs w:val="20"/>
        </w:rPr>
      </w:pPr>
      <w:r w:rsidDel="00000000" w:rsidR="00000000" w:rsidRPr="00000000">
        <w:rPr>
          <w:b w:val="1"/>
          <w:sz w:val="20"/>
          <w:szCs w:val="20"/>
          <w:rtl w:val="0"/>
        </w:rPr>
        <w:t xml:space="preserve">BIỂU PHÍ TRONG CÔNG TÁC AN TOÀN THỰC PHẨM</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3" w:lineRule="auto"/>
        <w:jc w:val="center"/>
        <w:rPr>
          <w:i w:val="1"/>
          <w:sz w:val="20"/>
          <w:szCs w:val="20"/>
        </w:rPr>
      </w:pPr>
      <w:r w:rsidDel="00000000" w:rsidR="00000000" w:rsidRPr="00000000">
        <w:rPr>
          <w:i w:val="1"/>
          <w:sz w:val="20"/>
          <w:szCs w:val="20"/>
          <w:rtl w:val="0"/>
        </w:rPr>
        <w:t xml:space="preserve">(Ban hành kèm theo Thông tư số 67/2021/TT-BTC ngày 05 tháng 8 năm 2021 của Bộ trưởng Bộ Tài chính)</w:t>
      </w:r>
    </w:p>
    <w:tbl>
      <w:tblPr>
        <w:tblStyle w:val="Table1"/>
        <w:tblW w:w="9025.511811023624"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5.9613276188578"/>
        <w:gridCol w:w="6402.591448220872"/>
        <w:gridCol w:w="1946.9590351838933"/>
        <w:tblGridChange w:id="0">
          <w:tblGrid>
            <w:gridCol w:w="675.9613276188578"/>
            <w:gridCol w:w="6402.591448220872"/>
            <w:gridCol w:w="1946.9590351838933"/>
          </w:tblGrid>
        </w:tblGridChange>
      </w:tblGrid>
      <w:tr>
        <w:trPr>
          <w:cantSplit w:val="0"/>
          <w:trHeight w:val="71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3">
            <w:pPr>
              <w:pBdr>
                <w:left w:color="auto" w:space="0" w:sz="0" w:val="none"/>
                <w:right w:color="auto" w:space="0" w:sz="0" w:val="none"/>
              </w:pBdr>
              <w:spacing w:after="120" w:before="120" w:line="312" w:lineRule="auto"/>
              <w:jc w:val="center"/>
              <w:rPr>
                <w:b w:val="1"/>
                <w:sz w:val="20"/>
                <w:szCs w:val="20"/>
              </w:rPr>
            </w:pPr>
            <w:r w:rsidDel="00000000" w:rsidR="00000000" w:rsidRPr="00000000">
              <w:rPr>
                <w:b w:val="1"/>
                <w:sz w:val="20"/>
                <w:szCs w:val="20"/>
                <w:rtl w:val="0"/>
              </w:rPr>
              <w:t xml:space="preserve">Số 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4">
            <w:pPr>
              <w:pBdr>
                <w:left w:color="auto" w:space="0" w:sz="0" w:val="none"/>
                <w:right w:color="auto" w:space="0" w:sz="0" w:val="none"/>
              </w:pBdr>
              <w:spacing w:after="120" w:before="120" w:line="312" w:lineRule="auto"/>
              <w:jc w:val="center"/>
              <w:rPr>
                <w:b w:val="1"/>
                <w:sz w:val="20"/>
                <w:szCs w:val="20"/>
              </w:rPr>
            </w:pPr>
            <w:r w:rsidDel="00000000" w:rsidR="00000000" w:rsidRPr="00000000">
              <w:rPr>
                <w:b w:val="1"/>
                <w:sz w:val="20"/>
                <w:szCs w:val="20"/>
                <w:rtl w:val="0"/>
              </w:rPr>
              <w:t xml:space="preserve">Dịch vụ thu phí</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5">
            <w:pPr>
              <w:pBdr>
                <w:left w:color="auto" w:space="0" w:sz="0" w:val="none"/>
                <w:right w:color="auto" w:space="0" w:sz="0" w:val="none"/>
              </w:pBdr>
              <w:spacing w:after="120" w:before="120" w:line="312" w:lineRule="auto"/>
              <w:jc w:val="center"/>
              <w:rPr>
                <w:b w:val="1"/>
                <w:sz w:val="20"/>
                <w:szCs w:val="20"/>
              </w:rPr>
            </w:pPr>
            <w:r w:rsidDel="00000000" w:rsidR="00000000" w:rsidRPr="00000000">
              <w:rPr>
                <w:b w:val="1"/>
                <w:sz w:val="20"/>
                <w:szCs w:val="20"/>
                <w:rtl w:val="0"/>
              </w:rPr>
              <w:t xml:space="preserve">Mức thu</w:t>
            </w:r>
          </w:p>
        </w:tc>
      </w:tr>
      <w:tr>
        <w:trPr>
          <w:cantSplit w:val="0"/>
          <w:trHeight w:val="9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6">
            <w:pPr>
              <w:pBdr>
                <w:left w:color="auto" w:space="0" w:sz="0" w:val="none"/>
                <w:right w:color="auto" w:space="0" w:sz="0" w:val="none"/>
              </w:pBdr>
              <w:spacing w:after="120" w:before="120" w:line="312" w:lineRule="auto"/>
              <w:jc w:val="center"/>
              <w:rPr>
                <w:b w:val="1"/>
                <w:sz w:val="20"/>
                <w:szCs w:val="20"/>
              </w:rPr>
            </w:pPr>
            <w:r w:rsidDel="00000000" w:rsidR="00000000" w:rsidRPr="00000000">
              <w:rPr>
                <w:b w:val="1"/>
                <w:sz w:val="20"/>
                <w:szCs w:val="20"/>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7">
            <w:pPr>
              <w:pBdr>
                <w:left w:color="auto" w:space="0" w:sz="0" w:val="none"/>
                <w:right w:color="auto" w:space="0" w:sz="0" w:val="none"/>
              </w:pBdr>
              <w:spacing w:after="120" w:before="120" w:line="312" w:lineRule="auto"/>
              <w:rPr>
                <w:b w:val="1"/>
                <w:sz w:val="20"/>
                <w:szCs w:val="20"/>
              </w:rPr>
            </w:pPr>
            <w:r w:rsidDel="00000000" w:rsidR="00000000" w:rsidRPr="00000000">
              <w:rPr>
                <w:b w:val="1"/>
                <w:sz w:val="20"/>
                <w:szCs w:val="20"/>
                <w:rtl w:val="0"/>
              </w:rPr>
              <w:t xml:space="preserve">Thẩm định cấp phép lưu hành, nhập khẩu, xác nhận, công bố trong lĩnh vực an toàn thực phẩm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8">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9">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Thẩm định hồ sơ đăng ký bản công bố sản phẩm đối với thực phẩm bảo vệ sức khỏe, thực phẩm dinh dưỡng y học, thực phẩm dùng cho chế độ ăn đặc biệt, sản phẩm dinh dưỡng dùng cho trẻ đến 36 tháng tuổi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B">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1.500.000 đồng/lần/sản phẩm</w:t>
            </w:r>
          </w:p>
        </w:tc>
      </w:tr>
      <w:tr>
        <w:trPr>
          <w:cantSplit w:val="0"/>
          <w:trHeight w:val="140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C">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Thẩm định hồ sơ đăng ký bản công bố sản phẩm đối với phụ gia thực phẩm hỗn hợp có công dụng mới, phụ gia thực phẩm không thuộc trong danh sách mục phụ gia được phép sử dụng trong thực phẩm hoặc không đúng đối tượng sử dụng do Bộ Y tế quy định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E">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500.000 đồng/lần/sản phẩm</w:t>
            </w:r>
          </w:p>
        </w:tc>
      </w:tr>
      <w:tr>
        <w:trPr>
          <w:cantSplit w:val="0"/>
          <w:trHeight w:val="695" w:hRule="atLeast"/>
          <w:tblHeader w:val="0"/>
        </w:trPr>
        <w:tc>
          <w:tcPr>
            <w:vMerge w:val="restart"/>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0F">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Xác nhận lô hàng thực phẩm nhập khẩu (chưa bao gồm chi phí kiểm nghiệm):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11">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695"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2">
            <w:pPr>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3">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Đối với kiểm tra thông thường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4">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300.000 đồng/lô hàng</w:t>
            </w:r>
          </w:p>
        </w:tc>
      </w:tr>
      <w:tr>
        <w:trPr>
          <w:cantSplit w:val="0"/>
          <w:trHeight w:val="2090" w:hRule="atLeast"/>
          <w:tblHeader w:val="0"/>
        </w:trPr>
        <w:tc>
          <w:tcPr>
            <w:vMerge w:val="continue"/>
            <w:tcBorders>
              <w:left w:color="000000" w:space="0" w:sz="4"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5">
            <w:pPr>
              <w:rPr>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6">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Đối với kiểm tra chặt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1.000.000 đồng/lô hàng + số mặt hàng x 100.000 đồng </w:t>
            </w:r>
            <w:r w:rsidDel="00000000" w:rsidR="00000000" w:rsidRPr="00000000">
              <w:rPr>
                <w:i w:val="1"/>
                <w:sz w:val="20"/>
                <w:szCs w:val="20"/>
                <w:rtl w:val="0"/>
              </w:rPr>
              <w:t xml:space="preserve">(số mặt hàng tính từ mặt hàng thứ 2).</w:t>
            </w:r>
            <w:r w:rsidDel="00000000" w:rsidR="00000000" w:rsidRPr="00000000">
              <w:rPr>
                <w:sz w:val="20"/>
                <w:szCs w:val="20"/>
                <w:rtl w:val="0"/>
              </w:rPr>
              <w:t xml:space="preserve"> Tối đa 10.000.000 đồng/lô hàng</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8">
            <w:pPr>
              <w:pBdr>
                <w:left w:color="auto" w:space="0" w:sz="0" w:val="none"/>
                <w:right w:color="auto" w:space="0" w:sz="0" w:val="none"/>
              </w:pBdr>
              <w:spacing w:after="120" w:before="120" w:line="312" w:lineRule="auto"/>
              <w:jc w:val="center"/>
              <w:rPr>
                <w:b w:val="1"/>
                <w:sz w:val="20"/>
                <w:szCs w:val="20"/>
              </w:rPr>
            </w:pPr>
            <w:r w:rsidDel="00000000" w:rsidR="00000000" w:rsidRPr="00000000">
              <w:rPr>
                <w:b w:val="1"/>
                <w:sz w:val="20"/>
                <w:szCs w:val="20"/>
                <w:rtl w:val="0"/>
              </w:rPr>
              <w:t xml:space="preserve">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9">
            <w:pPr>
              <w:pBdr>
                <w:left w:color="auto" w:space="0" w:sz="0" w:val="none"/>
                <w:right w:color="auto" w:space="0" w:sz="0" w:val="none"/>
              </w:pBdr>
              <w:spacing w:after="120" w:before="120" w:line="312" w:lineRule="auto"/>
              <w:rPr>
                <w:sz w:val="20"/>
                <w:szCs w:val="20"/>
              </w:rPr>
            </w:pPr>
            <w:r w:rsidDel="00000000" w:rsidR="00000000" w:rsidRPr="00000000">
              <w:rPr>
                <w:b w:val="1"/>
                <w:sz w:val="20"/>
                <w:szCs w:val="20"/>
                <w:rtl w:val="0"/>
              </w:rPr>
              <w:t xml:space="preserve">Thẩm định cấp giấy chứng nhận đối với thực phẩm xuất khẩu</w:t>
            </w:r>
            <w:r w:rsidDel="00000000" w:rsidR="00000000" w:rsidRPr="00000000">
              <w:rPr>
                <w:sz w:val="20"/>
                <w:szCs w:val="20"/>
                <w:rtl w:val="0"/>
              </w:rPr>
              <w:t xml:space="preserve"> (Giấy chứng nhận lưu hành tự do, giấy chứng nhận xuất khẩu, giấy chứng nhận y tế)</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A">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1.000.000 đồng/lần/giấy chứng nhận</w:t>
            </w:r>
          </w:p>
        </w:tc>
      </w:tr>
      <w:tr>
        <w:trPr>
          <w:cantSplit w:val="0"/>
          <w:trHeight w:val="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B">
            <w:pPr>
              <w:pBdr>
                <w:left w:color="auto" w:space="0" w:sz="0" w:val="none"/>
                <w:right w:color="auto" w:space="0" w:sz="0" w:val="none"/>
              </w:pBdr>
              <w:spacing w:after="120" w:before="120" w:line="312" w:lineRule="auto"/>
              <w:jc w:val="center"/>
              <w:rPr>
                <w:b w:val="1"/>
                <w:sz w:val="20"/>
                <w:szCs w:val="20"/>
              </w:rPr>
            </w:pPr>
            <w:r w:rsidDel="00000000" w:rsidR="00000000" w:rsidRPr="00000000">
              <w:rPr>
                <w:b w:val="1"/>
                <w:sz w:val="20"/>
                <w:szCs w:val="20"/>
                <w:rtl w:val="0"/>
              </w:rPr>
              <w:t xml:space="preserve">III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pBdr>
                <w:left w:color="auto" w:space="0" w:sz="0" w:val="none"/>
                <w:right w:color="auto" w:space="0" w:sz="0" w:val="none"/>
              </w:pBdr>
              <w:spacing w:after="120" w:before="120" w:line="312" w:lineRule="auto"/>
              <w:rPr>
                <w:b w:val="1"/>
                <w:sz w:val="20"/>
                <w:szCs w:val="20"/>
              </w:rPr>
            </w:pPr>
            <w:r w:rsidDel="00000000" w:rsidR="00000000" w:rsidRPr="00000000">
              <w:rPr>
                <w:b w:val="1"/>
                <w:sz w:val="20"/>
                <w:szCs w:val="20"/>
                <w:rtl w:val="0"/>
              </w:rPr>
              <w:t xml:space="preserve">Thẩm định điều kiện hành nghề, kinh doanh thuộc lĩnh vực an toàn thực phẩm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D">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E">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F">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Thẩm định cấp giấy chứng nhận đủ điều kiện an toàn thực phẩm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0">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1">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2">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Thẩm định cơ sở kinh doanh thực phẩm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3">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1.000.000 đồng/lần/cơ sở</w:t>
            </w:r>
          </w:p>
        </w:tc>
      </w:tr>
      <w:tr>
        <w:trPr>
          <w:cantSplit w:val="0"/>
          <w:trHeight w:val="69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4">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5">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Thẩm định cơ sở kinh doanh dịch vụ ăn uống: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6">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7">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8">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Phục vụ dưới 200 suất ăn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9">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700.000 đồng/lần/cơ sở</w:t>
            </w:r>
          </w:p>
        </w:tc>
      </w:tr>
      <w:tr>
        <w:trPr>
          <w:cantSplit w:val="0"/>
          <w:trHeight w:val="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A">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B">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 Phục vụ từ 200 suất ăn trở lên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C">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1.000.000 đồng/lần/cơ sở</w:t>
            </w:r>
          </w:p>
        </w:tc>
      </w:tr>
      <w:tr>
        <w:trPr>
          <w:cantSplit w:val="0"/>
          <w:trHeight w:val="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D">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E">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Thẩm định cơ sở sản xuất thực phẩm (trừ cơ sở sản xuất thực phẩm bảo vệ sức khỏe)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F">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0">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1">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Đối với cơ sở sản xuất nhỏ lẻ được cấp giấy chứng nhận cơ sở đủ điều kiện an toàn thực phẩm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2">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500.000 đồng/lần/cơ sở</w:t>
            </w:r>
          </w:p>
        </w:tc>
      </w:tr>
      <w:tr>
        <w:trPr>
          <w:cantSplit w:val="0"/>
          <w:trHeight w:val="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3">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4">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Đối với cơ sở sản xuất khác (bao gồm cả cơ sở vừa sản xuất vừa kinh doanh) được cấp giấy chứng nhận cơ sở đủ điều kiện an toàn thực phẩm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5">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2.500.000 đồng/lần/cơ sở</w:t>
            </w:r>
          </w:p>
        </w:tc>
      </w:tr>
      <w:tr>
        <w:trPr>
          <w:cantSplit w:val="0"/>
          <w:trHeight w:val="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6">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7">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Thẩm định cơ sở sản xuất thực phẩm bảo vệ sức khỏe theo hướng dẫn thực hành sản xuất tốt (GMP)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8">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22.500.000 đồng/lần/cơ sở</w:t>
            </w:r>
          </w:p>
        </w:tc>
      </w:tr>
      <w:tr>
        <w:trPr>
          <w:cantSplit w:val="0"/>
          <w:trHeight w:val="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9">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A">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Thẩm định điều kiện cơ sở kiểm nghiệm, tổ chức chứng nhận hợp quy, cơ quan kiểm tra nhà nước về thực phẩm nhập khẩu: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B">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 </w:t>
            </w:r>
          </w:p>
        </w:tc>
      </w:tr>
      <w:tr>
        <w:trPr>
          <w:cantSplit w:val="0"/>
          <w:trHeight w:val="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C">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D">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Đánh giá lần đầu, đánh giá mở rộng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E">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28.500.000 đồng/lần/đơn vị</w:t>
            </w:r>
          </w:p>
        </w:tc>
      </w:tr>
      <w:tr>
        <w:trPr>
          <w:cantSplit w:val="0"/>
          <w:trHeight w:val="9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3F">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0">
            <w:pPr>
              <w:pBdr>
                <w:left w:color="auto" w:space="0" w:sz="0" w:val="none"/>
                <w:right w:color="auto" w:space="0" w:sz="0" w:val="none"/>
              </w:pBdr>
              <w:spacing w:after="120" w:before="120" w:line="312" w:lineRule="auto"/>
              <w:rPr>
                <w:sz w:val="20"/>
                <w:szCs w:val="20"/>
              </w:rPr>
            </w:pPr>
            <w:r w:rsidDel="00000000" w:rsidR="00000000" w:rsidRPr="00000000">
              <w:rPr>
                <w:sz w:val="20"/>
                <w:szCs w:val="20"/>
                <w:rtl w:val="0"/>
              </w:rPr>
              <w:t xml:space="preserve">Đánh giá lại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1">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20.500.000 đồng/lần/đơn vị</w:t>
            </w:r>
          </w:p>
        </w:tc>
      </w:tr>
      <w:tr>
        <w:trPr>
          <w:cantSplit w:val="0"/>
          <w:trHeight w:val="11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2">
            <w:pPr>
              <w:pBdr>
                <w:left w:color="auto" w:space="0" w:sz="0" w:val="none"/>
                <w:right w:color="auto" w:space="0" w:sz="0" w:val="none"/>
              </w:pBdr>
              <w:spacing w:after="120" w:before="120" w:line="312" w:lineRule="auto"/>
              <w:jc w:val="center"/>
              <w:rPr>
                <w:b w:val="1"/>
                <w:sz w:val="20"/>
                <w:szCs w:val="20"/>
              </w:rPr>
            </w:pPr>
            <w:r w:rsidDel="00000000" w:rsidR="00000000" w:rsidRPr="00000000">
              <w:rPr>
                <w:b w:val="1"/>
                <w:sz w:val="20"/>
                <w:szCs w:val="20"/>
                <w:rtl w:val="0"/>
              </w:rPr>
              <w:t xml:space="preserve">IV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3">
            <w:pPr>
              <w:pBdr>
                <w:left w:color="auto" w:space="0" w:sz="0" w:val="none"/>
                <w:right w:color="auto" w:space="0" w:sz="0" w:val="none"/>
              </w:pBdr>
              <w:spacing w:after="120" w:before="120" w:line="312" w:lineRule="auto"/>
              <w:rPr>
                <w:b w:val="1"/>
                <w:sz w:val="20"/>
                <w:szCs w:val="20"/>
              </w:rPr>
            </w:pPr>
            <w:r w:rsidDel="00000000" w:rsidR="00000000" w:rsidRPr="00000000">
              <w:rPr>
                <w:b w:val="1"/>
                <w:sz w:val="20"/>
                <w:szCs w:val="20"/>
                <w:rtl w:val="0"/>
              </w:rPr>
              <w:t xml:space="preserve">Thẩm định nội dung kịch bản phim, chương trình trên băng, đĩa, phần mềm, trên các vật liệu khác và tài liệu trong quảng cáo thực phẩm, phụ gia thực phẩm, chất hỗ trợ chế biến thuốc lĩnh vực y tế</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4">
            <w:pPr>
              <w:pBdr>
                <w:left w:color="auto" w:space="0" w:sz="0" w:val="none"/>
                <w:right w:color="auto" w:space="0" w:sz="0" w:val="none"/>
              </w:pBdr>
              <w:spacing w:after="120" w:before="120" w:line="312" w:lineRule="auto"/>
              <w:jc w:val="center"/>
              <w:rPr>
                <w:sz w:val="20"/>
                <w:szCs w:val="20"/>
              </w:rPr>
            </w:pPr>
            <w:r w:rsidDel="00000000" w:rsidR="00000000" w:rsidRPr="00000000">
              <w:rPr>
                <w:sz w:val="20"/>
                <w:szCs w:val="20"/>
                <w:rtl w:val="0"/>
              </w:rPr>
              <w:t xml:space="preserve">1.100.000 đồng/lần/sản phẩm</w:t>
            </w:r>
          </w:p>
        </w:tc>
      </w:tr>
    </w:tbl>
    <w:p w:rsidR="00000000" w:rsidDel="00000000" w:rsidP="00000000" w:rsidRDefault="00000000" w:rsidRPr="00000000" w14:paraId="00000045">
      <w:pPr>
        <w:rPr>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