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rtl w:val="0"/>
        </w:rPr>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445"/>
        <w:tblGridChange w:id="0">
          <w:tblGrid>
            <w:gridCol w:w="3450"/>
            <w:gridCol w:w="5445"/>
          </w:tblGrid>
        </w:tblGridChange>
      </w:tblGrid>
      <w:tr>
        <w:trPr>
          <w:cantSplit w:val="0"/>
          <w:trHeight w:val="7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0" w:before="0" w:line="276" w:lineRule="auto"/>
              <w:jc w:val="center"/>
              <w:rPr>
                <w:b w:val="1"/>
                <w:sz w:val="20"/>
                <w:szCs w:val="20"/>
              </w:rPr>
            </w:pPr>
            <w:r w:rsidDel="00000000" w:rsidR="00000000" w:rsidRPr="00000000">
              <w:rPr>
                <w:b w:val="1"/>
                <w:sz w:val="20"/>
                <w:szCs w:val="20"/>
                <w:rtl w:val="0"/>
              </w:rPr>
              <w:t xml:space="preserve">BỘ Y TẾ</w:t>
            </w:r>
          </w:p>
          <w:p w:rsidR="00000000" w:rsidDel="00000000" w:rsidP="00000000" w:rsidRDefault="00000000" w:rsidRPr="00000000" w14:paraId="00000003">
            <w:pPr>
              <w:pBdr>
                <w:left w:color="auto" w:space="0" w:sz="0" w:val="none"/>
                <w:right w:color="auto" w:space="0" w:sz="0" w:val="none"/>
              </w:pBdr>
              <w:spacing w:after="0" w:before="0" w:line="276" w:lineRule="auto"/>
              <w:jc w:val="center"/>
              <w:rPr>
                <w:b w:val="1"/>
                <w:sz w:val="20"/>
                <w:szCs w:val="20"/>
              </w:rPr>
            </w:pPr>
            <w:r w:rsidDel="00000000" w:rsidR="00000000" w:rsidRPr="00000000">
              <w:rPr>
                <w:b w:val="1"/>
                <w:sz w:val="20"/>
                <w:szCs w:val="20"/>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0" w:before="0" w:line="276"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5">
            <w:pPr>
              <w:pBdr>
                <w:left w:color="auto" w:space="0" w:sz="0" w:val="none"/>
                <w:right w:color="auto" w:space="0" w:sz="0" w:val="none"/>
              </w:pBdr>
              <w:spacing w:after="0" w:before="0" w:line="276" w:lineRule="auto"/>
              <w:jc w:val="center"/>
              <w:rPr>
                <w:b w:val="1"/>
                <w:sz w:val="20"/>
                <w:szCs w:val="20"/>
              </w:rPr>
            </w:pPr>
            <w:r w:rsidDel="00000000" w:rsidR="00000000" w:rsidRPr="00000000">
              <w:rPr>
                <w:b w:val="1"/>
                <w:sz w:val="20"/>
                <w:szCs w:val="20"/>
                <w:rtl w:val="0"/>
              </w:rPr>
              <w:t xml:space="preserve">Độc lập - Tự do - Hạnh phúc </w:t>
            </w:r>
          </w:p>
          <w:p w:rsidR="00000000" w:rsidDel="00000000" w:rsidP="00000000" w:rsidRDefault="00000000" w:rsidRPr="00000000" w14:paraId="00000006">
            <w:pPr>
              <w:pBdr>
                <w:left w:color="auto" w:space="0" w:sz="0" w:val="none"/>
                <w:right w:color="auto" w:space="0" w:sz="0" w:val="none"/>
              </w:pBdr>
              <w:spacing w:after="0" w:before="0" w:line="276" w:lineRule="auto"/>
              <w:jc w:val="center"/>
              <w:rPr>
                <w:b w:val="1"/>
                <w:sz w:val="20"/>
                <w:szCs w:val="20"/>
              </w:rPr>
            </w:pPr>
            <w:r w:rsidDel="00000000" w:rsidR="00000000" w:rsidRPr="00000000">
              <w:rPr>
                <w:b w:val="1"/>
                <w:sz w:val="20"/>
                <w:szCs w:val="20"/>
                <w:rtl w:val="0"/>
              </w:rPr>
              <w:t xml:space="preserve">---------------</w:t>
            </w:r>
          </w:p>
        </w:tc>
      </w:tr>
      <w:tr>
        <w:trPr>
          <w:cantSplit w:val="0"/>
          <w:trHeight w:val="43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pBdr>
                <w:left w:color="auto" w:space="0" w:sz="0" w:val="none"/>
                <w:right w:color="auto" w:space="0" w:sz="0" w:val="none"/>
              </w:pBdr>
              <w:spacing w:after="0" w:before="0" w:line="276" w:lineRule="auto"/>
              <w:jc w:val="center"/>
              <w:rPr>
                <w:sz w:val="20"/>
                <w:szCs w:val="20"/>
              </w:rPr>
            </w:pPr>
            <w:r w:rsidDel="00000000" w:rsidR="00000000" w:rsidRPr="00000000">
              <w:rPr>
                <w:sz w:val="20"/>
                <w:szCs w:val="20"/>
                <w:rtl w:val="0"/>
              </w:rPr>
              <w:t xml:space="preserve">Số: 15/2016/TT-BYT</w:t>
            </w:r>
          </w:p>
        </w:tc>
        <w:tc>
          <w:tcPr>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0" w:before="0" w:line="276" w:lineRule="auto"/>
              <w:jc w:val="right"/>
              <w:rPr>
                <w:i w:val="1"/>
                <w:sz w:val="20"/>
                <w:szCs w:val="20"/>
              </w:rPr>
            </w:pPr>
            <w:r w:rsidDel="00000000" w:rsidR="00000000" w:rsidRPr="00000000">
              <w:rPr>
                <w:i w:val="1"/>
                <w:sz w:val="20"/>
                <w:szCs w:val="20"/>
                <w:rtl w:val="0"/>
              </w:rPr>
              <w:t xml:space="preserve">Hà Nội, ngày 15 tháng 5 năm 2016</w:t>
            </w:r>
          </w:p>
        </w:tc>
      </w:tr>
    </w:tbl>
    <w:p w:rsidR="00000000" w:rsidDel="00000000" w:rsidP="00000000" w:rsidRDefault="00000000" w:rsidRPr="00000000" w14:paraId="00000009">
      <w:pPr>
        <w:pBdr>
          <w:left w:color="auto" w:space="0" w:sz="0" w:val="none"/>
          <w:right w:color="auto" w:space="0" w:sz="0" w:val="none"/>
        </w:pBdr>
        <w:spacing w:after="0" w:before="0" w:line="276" w:lineRule="auto"/>
        <w:jc w:val="both"/>
        <w:rPr>
          <w:sz w:val="20"/>
          <w:szCs w:val="20"/>
        </w:rPr>
      </w:pPr>
      <w:r w:rsidDel="00000000" w:rsidR="00000000" w:rsidRPr="00000000">
        <w:rPr>
          <w:rtl w:val="0"/>
        </w:rPr>
      </w:r>
    </w:p>
    <w:p w:rsidR="00000000" w:rsidDel="00000000" w:rsidP="00000000" w:rsidRDefault="00000000" w:rsidRPr="00000000" w14:paraId="0000000A">
      <w:pPr>
        <w:pBdr>
          <w:left w:color="auto" w:space="0" w:sz="0" w:val="none"/>
          <w:right w:color="auto" w:space="0" w:sz="0" w:val="none"/>
        </w:pBdr>
        <w:spacing w:after="0" w:before="0" w:line="276" w:lineRule="auto"/>
        <w:jc w:val="center"/>
        <w:rPr>
          <w:b w:val="1"/>
        </w:rPr>
      </w:pPr>
      <w:r w:rsidDel="00000000" w:rsidR="00000000" w:rsidRPr="00000000">
        <w:rPr>
          <w:b w:val="1"/>
          <w:rtl w:val="0"/>
        </w:rPr>
        <w:t xml:space="preserve">THÔNG TƯ</w:t>
      </w:r>
    </w:p>
    <w:p w:rsidR="00000000" w:rsidDel="00000000" w:rsidP="00000000" w:rsidRDefault="00000000" w:rsidRPr="00000000" w14:paraId="0000000B">
      <w:pPr>
        <w:pBdr>
          <w:left w:color="auto" w:space="0" w:sz="0" w:val="none"/>
          <w:right w:color="auto" w:space="0" w:sz="0" w:val="none"/>
        </w:pBdr>
        <w:spacing w:after="0" w:before="0" w:line="276" w:lineRule="auto"/>
        <w:jc w:val="center"/>
        <w:rPr>
          <w:b w:val="1"/>
          <w:sz w:val="24"/>
          <w:szCs w:val="24"/>
        </w:rPr>
      </w:pPr>
      <w:r w:rsidDel="00000000" w:rsidR="00000000" w:rsidRPr="00000000">
        <w:rPr>
          <w:b w:val="1"/>
          <w:sz w:val="24"/>
          <w:szCs w:val="24"/>
          <w:rtl w:val="0"/>
        </w:rPr>
        <w:t xml:space="preserve">QUY ĐỊNH VỀ BỆNH NGHỀ NGHIỆP ĐƯỢC HƯỞNG BẢO HIỂM XÃ HỘI</w:t>
      </w:r>
    </w:p>
    <w:p w:rsidR="00000000" w:rsidDel="00000000" w:rsidP="00000000" w:rsidRDefault="00000000" w:rsidRPr="00000000" w14:paraId="0000000C">
      <w:pPr>
        <w:pBdr>
          <w:left w:color="auto" w:space="0" w:sz="0" w:val="none"/>
          <w:right w:color="auto" w:space="0" w:sz="0" w:val="none"/>
        </w:pBdr>
        <w:spacing w:after="0" w:before="0" w:line="276" w:lineRule="auto"/>
        <w:jc w:val="both"/>
        <w:rPr>
          <w:i w:val="1"/>
          <w:sz w:val="20"/>
          <w:szCs w:val="20"/>
        </w:rPr>
      </w:pPr>
      <w:r w:rsidDel="00000000" w:rsidR="00000000" w:rsidRPr="00000000">
        <w:rPr>
          <w:rtl w:val="0"/>
        </w:rPr>
      </w:r>
    </w:p>
    <w:p w:rsidR="00000000" w:rsidDel="00000000" w:rsidP="00000000" w:rsidRDefault="00000000" w:rsidRPr="00000000" w14:paraId="0000000D">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Căn cứ Bộ luật Lao động số 10/2012/QH13 ngày 18 tháng 6 năm 2012;</w:t>
      </w:r>
    </w:p>
    <w:p w:rsidR="00000000" w:rsidDel="00000000" w:rsidP="00000000" w:rsidRDefault="00000000" w:rsidRPr="00000000" w14:paraId="0000000E">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Căn cứ Luật bảo hiểm xã hội số 58/2014/QH13 ngày 20 tháng 11 năm 2014;</w:t>
      </w:r>
    </w:p>
    <w:p w:rsidR="00000000" w:rsidDel="00000000" w:rsidP="00000000" w:rsidRDefault="00000000" w:rsidRPr="00000000" w14:paraId="0000000F">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Căn cứ Luật an toàn, vệ sinh lao động số 84/2015/QH13 ngày 25 tháng 6 năm 2015;</w:t>
      </w:r>
    </w:p>
    <w:p w:rsidR="00000000" w:rsidDel="00000000" w:rsidP="00000000" w:rsidRDefault="00000000" w:rsidRPr="00000000" w14:paraId="00000010">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Căn cứ Nghị định số 37/2016/NĐ-CP ngày 15 tháng 5 năm 2016 của Chính phủ quy định chi tiết về hướng dẫn thi hành một số điều của Luật an toàn, vệ sinh lao động về bảo hiểm tai nạn lao động, bệnh nghề nghiệp bắt buộc:</w:t>
      </w:r>
    </w:p>
    <w:p w:rsidR="00000000" w:rsidDel="00000000" w:rsidP="00000000" w:rsidRDefault="00000000" w:rsidRPr="00000000" w14:paraId="00000011">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Căn cứ Nghị định số 63/2012/NĐ-CP ngày 31 tháng 8 năm 2012 của Chính phủ quy định chức năng, nhiệm vụ, quyền hạn và cơ cấu tổ chức của Bộ Y tế;</w:t>
      </w:r>
    </w:p>
    <w:p w:rsidR="00000000" w:rsidDel="00000000" w:rsidP="00000000" w:rsidRDefault="00000000" w:rsidRPr="00000000" w14:paraId="00000012">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Theo đề nghị của Cục trưởng Cục Quản lý môi trường y tế;</w:t>
      </w:r>
    </w:p>
    <w:p w:rsidR="00000000" w:rsidDel="00000000" w:rsidP="00000000" w:rsidRDefault="00000000" w:rsidRPr="00000000" w14:paraId="00000013">
      <w:pPr>
        <w:pBdr>
          <w:left w:color="auto" w:space="0" w:sz="0" w:val="none"/>
          <w:right w:color="auto" w:space="0" w:sz="0" w:val="none"/>
        </w:pBdr>
        <w:spacing w:after="0" w:before="0" w:line="276" w:lineRule="auto"/>
        <w:jc w:val="both"/>
        <w:rPr>
          <w:i w:val="1"/>
          <w:sz w:val="20"/>
          <w:szCs w:val="20"/>
        </w:rPr>
      </w:pPr>
      <w:r w:rsidDel="00000000" w:rsidR="00000000" w:rsidRPr="00000000">
        <w:rPr>
          <w:i w:val="1"/>
          <w:sz w:val="20"/>
          <w:szCs w:val="20"/>
          <w:rtl w:val="0"/>
        </w:rPr>
        <w:t xml:space="preserve">Bộ trưởng Bộ Y tế ban hành Thông tư quy định về bệnh nghề nghiệp được hưởng bảo hiểm xã hội,</w:t>
      </w:r>
    </w:p>
    <w:p w:rsidR="00000000" w:rsidDel="00000000" w:rsidP="00000000" w:rsidRDefault="00000000" w:rsidRPr="00000000" w14:paraId="00000014">
      <w:pPr>
        <w:pBdr>
          <w:left w:color="auto" w:space="0" w:sz="0" w:val="none"/>
          <w:right w:color="auto" w:space="0" w:sz="0" w:val="none"/>
        </w:pBdr>
        <w:spacing w:after="0" w:before="0" w:line="276" w:lineRule="auto"/>
        <w:jc w:val="both"/>
        <w:rPr>
          <w:b w:val="1"/>
          <w:sz w:val="20"/>
          <w:szCs w:val="20"/>
        </w:rPr>
      </w:pPr>
      <w:r w:rsidDel="00000000" w:rsidR="00000000" w:rsidRPr="00000000">
        <w:rPr>
          <w:rtl w:val="0"/>
        </w:rPr>
      </w:r>
    </w:p>
    <w:p w:rsidR="00000000" w:rsidDel="00000000" w:rsidP="00000000" w:rsidRDefault="00000000" w:rsidRPr="00000000" w14:paraId="00000015">
      <w:pPr>
        <w:pBdr>
          <w:left w:color="auto" w:space="0" w:sz="0" w:val="none"/>
          <w:right w:color="auto" w:space="0" w:sz="0" w:val="none"/>
        </w:pBdr>
        <w:spacing w:after="0" w:before="0" w:line="276" w:lineRule="auto"/>
        <w:jc w:val="both"/>
        <w:rPr>
          <w:b w:val="1"/>
          <w:sz w:val="20"/>
          <w:szCs w:val="20"/>
        </w:rPr>
      </w:pPr>
      <w:r w:rsidDel="00000000" w:rsidR="00000000" w:rsidRPr="00000000">
        <w:rPr>
          <w:b w:val="1"/>
          <w:sz w:val="20"/>
          <w:szCs w:val="20"/>
          <w:rtl w:val="0"/>
        </w:rPr>
        <w:t xml:space="preserve">Điều 1. Phạm vi điều chỉnh</w:t>
      </w:r>
    </w:p>
    <w:p w:rsidR="00000000" w:rsidDel="00000000" w:rsidP="00000000" w:rsidRDefault="00000000" w:rsidRPr="00000000" w14:paraId="00000016">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Thông tư này quy định Danh mục bệnh nghề nghiệp được hưởng bảo hiểm xã hội và hướng dẫn chẩn đoán, giám định bệnh nghề nghiệp.</w:t>
      </w:r>
    </w:p>
    <w:p w:rsidR="00000000" w:rsidDel="00000000" w:rsidP="00000000" w:rsidRDefault="00000000" w:rsidRPr="00000000" w14:paraId="00000017">
      <w:pPr>
        <w:pBdr>
          <w:left w:color="auto" w:space="0" w:sz="0" w:val="none"/>
          <w:right w:color="auto" w:space="0" w:sz="0" w:val="none"/>
        </w:pBdr>
        <w:spacing w:after="0" w:before="0" w:line="276" w:lineRule="auto"/>
        <w:jc w:val="both"/>
        <w:rPr>
          <w:b w:val="1"/>
          <w:sz w:val="20"/>
          <w:szCs w:val="20"/>
        </w:rPr>
      </w:pPr>
      <w:r w:rsidDel="00000000" w:rsidR="00000000" w:rsidRPr="00000000">
        <w:rPr>
          <w:rtl w:val="0"/>
        </w:rPr>
      </w:r>
    </w:p>
    <w:p w:rsidR="00000000" w:rsidDel="00000000" w:rsidP="00000000" w:rsidRDefault="00000000" w:rsidRPr="00000000" w14:paraId="00000018">
      <w:pPr>
        <w:pBdr>
          <w:left w:color="auto" w:space="0" w:sz="0" w:val="none"/>
          <w:right w:color="auto" w:space="0" w:sz="0" w:val="none"/>
        </w:pBdr>
        <w:spacing w:after="0" w:before="0" w:line="276" w:lineRule="auto"/>
        <w:jc w:val="both"/>
        <w:rPr>
          <w:b w:val="1"/>
          <w:sz w:val="20"/>
          <w:szCs w:val="20"/>
        </w:rPr>
      </w:pPr>
      <w:r w:rsidDel="00000000" w:rsidR="00000000" w:rsidRPr="00000000">
        <w:rPr>
          <w:b w:val="1"/>
          <w:sz w:val="20"/>
          <w:szCs w:val="20"/>
          <w:rtl w:val="0"/>
        </w:rPr>
        <w:t xml:space="preserve">Điều 2. Giải thích từ ngữ</w:t>
      </w:r>
    </w:p>
    <w:p w:rsidR="00000000" w:rsidDel="00000000" w:rsidP="00000000" w:rsidRDefault="00000000" w:rsidRPr="00000000" w14:paraId="00000019">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Trong Thông tư này, những từ ngữ dưới đây được hiểu như sau:</w:t>
      </w:r>
    </w:p>
    <w:p w:rsidR="00000000" w:rsidDel="00000000" w:rsidP="00000000" w:rsidRDefault="00000000" w:rsidRPr="00000000" w14:paraId="0000001A">
      <w:pPr>
        <w:pBdr>
          <w:left w:color="auto" w:space="0" w:sz="0" w:val="none"/>
          <w:right w:color="auto" w:space="0" w:sz="0" w:val="none"/>
        </w:pBdr>
        <w:spacing w:after="0" w:before="0" w:line="276" w:lineRule="auto"/>
        <w:jc w:val="both"/>
        <w:rPr>
          <w:sz w:val="20"/>
          <w:szCs w:val="20"/>
        </w:rPr>
      </w:pPr>
      <w:r w:rsidDel="00000000" w:rsidR="00000000" w:rsidRPr="00000000">
        <w:rPr>
          <w:i w:val="1"/>
          <w:sz w:val="20"/>
          <w:szCs w:val="20"/>
          <w:rtl w:val="0"/>
        </w:rPr>
        <w:t xml:space="preserve">1. Giới hạn tiếp xúc tối thiểu</w:t>
      </w:r>
      <w:r w:rsidDel="00000000" w:rsidR="00000000" w:rsidRPr="00000000">
        <w:rPr>
          <w:sz w:val="20"/>
          <w:szCs w:val="20"/>
          <w:rtl w:val="0"/>
        </w:rPr>
        <w:t xml:space="preserve"> là mức tiếp xúc thấp nhất với yếu tố có hại trong quá trình lao động để có thể gây nên bệnh nghề nghiệp.</w:t>
      </w:r>
    </w:p>
    <w:p w:rsidR="00000000" w:rsidDel="00000000" w:rsidP="00000000" w:rsidRDefault="00000000" w:rsidRPr="00000000" w14:paraId="0000001B">
      <w:pPr>
        <w:pBdr>
          <w:left w:color="auto" w:space="0" w:sz="0" w:val="none"/>
          <w:right w:color="auto" w:space="0" w:sz="0" w:val="none"/>
        </w:pBdr>
        <w:spacing w:after="0" w:before="0" w:line="276" w:lineRule="auto"/>
        <w:jc w:val="both"/>
        <w:rPr>
          <w:sz w:val="20"/>
          <w:szCs w:val="20"/>
        </w:rPr>
      </w:pPr>
      <w:r w:rsidDel="00000000" w:rsidR="00000000" w:rsidRPr="00000000">
        <w:rPr>
          <w:i w:val="1"/>
          <w:sz w:val="20"/>
          <w:szCs w:val="20"/>
          <w:rtl w:val="0"/>
        </w:rPr>
        <w:t xml:space="preserve">2. Thời gian tiếp xúc tối thiểu</w:t>
      </w:r>
      <w:r w:rsidDel="00000000" w:rsidR="00000000" w:rsidRPr="00000000">
        <w:rPr>
          <w:sz w:val="20"/>
          <w:szCs w:val="20"/>
          <w:rtl w:val="0"/>
        </w:rPr>
        <w:t xml:space="preserve"> là thời gian tiếp xúc ngắn nhất với yếu tố có hại trong quá trình lao động để có thể gây bệnh nghề nghiệp.</w:t>
      </w:r>
    </w:p>
    <w:p w:rsidR="00000000" w:rsidDel="00000000" w:rsidP="00000000" w:rsidRDefault="00000000" w:rsidRPr="00000000" w14:paraId="0000001C">
      <w:pPr>
        <w:pBdr>
          <w:left w:color="auto" w:space="0" w:sz="0" w:val="none"/>
          <w:right w:color="auto" w:space="0" w:sz="0" w:val="none"/>
        </w:pBdr>
        <w:spacing w:after="0" w:before="0" w:line="276" w:lineRule="auto"/>
        <w:jc w:val="both"/>
        <w:rPr>
          <w:sz w:val="20"/>
          <w:szCs w:val="20"/>
        </w:rPr>
      </w:pPr>
      <w:r w:rsidDel="00000000" w:rsidR="00000000" w:rsidRPr="00000000">
        <w:rPr>
          <w:i w:val="1"/>
          <w:sz w:val="20"/>
          <w:szCs w:val="20"/>
          <w:rtl w:val="0"/>
        </w:rPr>
        <w:t xml:space="preserve">3. Thời gian bảo đảm</w:t>
      </w:r>
      <w:r w:rsidDel="00000000" w:rsidR="00000000" w:rsidRPr="00000000">
        <w:rPr>
          <w:sz w:val="20"/>
          <w:szCs w:val="20"/>
          <w:rtl w:val="0"/>
        </w:rPr>
        <w:t xml:space="preserve"> là khoảng thời gian kể từ khi người lao động đã thôi tiếp xúc với yếu tố có hại đến thời điểm vẫn còn khả năng phát bệnh do yếu tố có hại đó.</w:t>
      </w:r>
    </w:p>
    <w:p w:rsidR="00000000" w:rsidDel="00000000" w:rsidP="00000000" w:rsidRDefault="00000000" w:rsidRPr="00000000" w14:paraId="0000001D">
      <w:pPr>
        <w:pBdr>
          <w:left w:color="auto" w:space="0" w:sz="0" w:val="none"/>
          <w:right w:color="auto" w:space="0" w:sz="0" w:val="none"/>
        </w:pBdr>
        <w:spacing w:after="0" w:before="0" w:line="276" w:lineRule="auto"/>
        <w:jc w:val="both"/>
        <w:rPr>
          <w:b w:val="1"/>
          <w:sz w:val="20"/>
          <w:szCs w:val="20"/>
        </w:rPr>
      </w:pPr>
      <w:r w:rsidDel="00000000" w:rsidR="00000000" w:rsidRPr="00000000">
        <w:rPr>
          <w:rtl w:val="0"/>
        </w:rPr>
      </w:r>
    </w:p>
    <w:p w:rsidR="00000000" w:rsidDel="00000000" w:rsidP="00000000" w:rsidRDefault="00000000" w:rsidRPr="00000000" w14:paraId="0000001E">
      <w:pPr>
        <w:pBdr>
          <w:left w:color="auto" w:space="0" w:sz="0" w:val="none"/>
          <w:right w:color="auto" w:space="0" w:sz="0" w:val="none"/>
        </w:pBdr>
        <w:spacing w:after="0" w:before="0" w:line="276" w:lineRule="auto"/>
        <w:jc w:val="both"/>
        <w:rPr>
          <w:b w:val="1"/>
          <w:sz w:val="20"/>
          <w:szCs w:val="20"/>
        </w:rPr>
      </w:pPr>
      <w:r w:rsidDel="00000000" w:rsidR="00000000" w:rsidRPr="00000000">
        <w:rPr>
          <w:b w:val="1"/>
          <w:sz w:val="20"/>
          <w:szCs w:val="20"/>
          <w:rtl w:val="0"/>
        </w:rPr>
        <w:t xml:space="preserve">Điều 3. Danh mục bệnh nghề nghiệp được bảo hiểm và hướng dẫn chẩn đoán, giám định</w:t>
      </w:r>
    </w:p>
    <w:p w:rsidR="00000000" w:rsidDel="00000000" w:rsidP="00000000" w:rsidRDefault="00000000" w:rsidRPr="00000000" w14:paraId="0000001F">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 Bệnh bụi phổi silic nghề nghiệp và hướng dẫn chẩn đoán, giám định quy định tại Phụ lục 1 ban hành kèm theo Thông tư này.</w:t>
      </w:r>
    </w:p>
    <w:p w:rsidR="00000000" w:rsidDel="00000000" w:rsidP="00000000" w:rsidRDefault="00000000" w:rsidRPr="00000000" w14:paraId="00000020">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 Bệnh bụi phổi amiăng nghề nghiệp và hướng dẫn chẩn đoán, giám định quy định tại Phụ lục 2 ban hành kèm theo Thông tư này.</w:t>
      </w:r>
    </w:p>
    <w:p w:rsidR="00000000" w:rsidDel="00000000" w:rsidP="00000000" w:rsidRDefault="00000000" w:rsidRPr="00000000" w14:paraId="00000021">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 Bệnh bụi phổi bông nghề nghiệp và hướng dẫn chẩn đoán, giám định quy định tại Phụ lục 3 ban hành kèm theo Thông tư này.</w:t>
      </w:r>
    </w:p>
    <w:p w:rsidR="00000000" w:rsidDel="00000000" w:rsidP="00000000" w:rsidRDefault="00000000" w:rsidRPr="00000000" w14:paraId="00000022">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4. Bệnh bụi phổi talc nghề nghiệp và hướng dẫn chẩn đoán, giám định quy định tại Phụ lục 4 ban hành kèm theo Thông tư này.</w:t>
      </w:r>
    </w:p>
    <w:p w:rsidR="00000000" w:rsidDel="00000000" w:rsidP="00000000" w:rsidRDefault="00000000" w:rsidRPr="00000000" w14:paraId="00000023">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5. Bệnh bụi phổi than nghề nghiệp và hướng dẫn chẩn đoán, giám định quy định tại Phụ lục 5 ban hành kèm theo Thông tư này.</w:t>
      </w:r>
    </w:p>
    <w:p w:rsidR="00000000" w:rsidDel="00000000" w:rsidP="00000000" w:rsidRDefault="00000000" w:rsidRPr="00000000" w14:paraId="00000024">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6. Bệnh viêm phế quản mạn tính nghề nghiệp và hướng dẫn chẩn đoán, giám định quy định tại Phụ lục 6 ban hành kèm theo Thông tư này.</w:t>
      </w:r>
    </w:p>
    <w:p w:rsidR="00000000" w:rsidDel="00000000" w:rsidP="00000000" w:rsidRDefault="00000000" w:rsidRPr="00000000" w14:paraId="00000025">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7. Bệnh hen nghề nghiệp và hướng dẫn chẩn đoán, giám định quy định tại Phụ lục 7 ban hành kèm theo Thông tư này.</w:t>
      </w:r>
    </w:p>
    <w:p w:rsidR="00000000" w:rsidDel="00000000" w:rsidP="00000000" w:rsidRDefault="00000000" w:rsidRPr="00000000" w14:paraId="00000026">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8. Bệnh nhiễm độc chì nghề nghiệp và hướng dẫn chẩn đoán, giám định quy định tại Phụ lục 8 ban hành kèm theo Thông tư này.</w:t>
      </w:r>
    </w:p>
    <w:p w:rsidR="00000000" w:rsidDel="00000000" w:rsidP="00000000" w:rsidRDefault="00000000" w:rsidRPr="00000000" w14:paraId="00000027">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9. Bệnh nhiễm độc nghề nghiệp do benzen và đồng đẳng và hướng dẫn chẩn đoán, giám định quy định tại Phụ lục 9 ban hành kèm theo Thông tư này.</w:t>
      </w:r>
    </w:p>
    <w:p w:rsidR="00000000" w:rsidDel="00000000" w:rsidP="00000000" w:rsidRDefault="00000000" w:rsidRPr="00000000" w14:paraId="00000028">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10. Bệnh nhiễm độc thủy ngân nghề nghiệp và hướng dẫn chẩn đoán giám định quy định tại Phụ lục 10 ban hành kèm theo Thông tư này.</w:t>
      </w:r>
    </w:p>
    <w:p w:rsidR="00000000" w:rsidDel="00000000" w:rsidP="00000000" w:rsidRDefault="00000000" w:rsidRPr="00000000" w14:paraId="00000029">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11. Bệnh nhiễm độc mangan nghề nghiệp và hướng dẫn chẩn đoán, giám định quy định tại Phụ lục 11 ban hành kèm theo Thông tư này.</w:t>
      </w:r>
    </w:p>
    <w:p w:rsidR="00000000" w:rsidDel="00000000" w:rsidP="00000000" w:rsidRDefault="00000000" w:rsidRPr="00000000" w14:paraId="0000002A">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12. Bệnh nhiễm độc trinitrotoluen nghề nghiệp và hướng dẫn chẩn đoán, giám định quy định tại Phụ lục 12 ban hành kèm theo Thông tư này.</w:t>
      </w:r>
    </w:p>
    <w:p w:rsidR="00000000" w:rsidDel="00000000" w:rsidP="00000000" w:rsidRDefault="00000000" w:rsidRPr="00000000" w14:paraId="0000002B">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13. Bệnh nhiễm độc asen nghề nghiệp và hướng dẫn chẩn đoán, giám định quy định tại Phụ lục 13 ban hành kèm theo Thông tư này.</w:t>
      </w:r>
    </w:p>
    <w:p w:rsidR="00000000" w:rsidDel="00000000" w:rsidP="00000000" w:rsidRDefault="00000000" w:rsidRPr="00000000" w14:paraId="0000002C">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14. Bệnh nhiễm độc hóa chất bảo vệ thực vật nghề nghiệp và hướng dẫn chẩn đoán, giám định quy định tại Phụ lục 14 ban hành kèm theo Thông tư này.</w:t>
      </w:r>
    </w:p>
    <w:p w:rsidR="00000000" w:rsidDel="00000000" w:rsidP="00000000" w:rsidRDefault="00000000" w:rsidRPr="00000000" w14:paraId="0000002D">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15. Bệnh nhiễm độc nicotin nghề nghiệp và hướng dẫn chẩn đoán, giám định quy định tại Phụ lục 15 ban hành kèm theo Thông tư này.</w:t>
      </w:r>
    </w:p>
    <w:p w:rsidR="00000000" w:rsidDel="00000000" w:rsidP="00000000" w:rsidRDefault="00000000" w:rsidRPr="00000000" w14:paraId="0000002E">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16. Bệnh nhiễm độc </w:t>
      </w:r>
      <w:r w:rsidDel="00000000" w:rsidR="00000000" w:rsidRPr="00000000">
        <w:rPr>
          <w:sz w:val="20"/>
          <w:szCs w:val="20"/>
          <w:rtl w:val="0"/>
        </w:rPr>
        <w:t xml:space="preserve">cacbon monoxit</w:t>
      </w:r>
      <w:r w:rsidDel="00000000" w:rsidR="00000000" w:rsidRPr="00000000">
        <w:rPr>
          <w:sz w:val="20"/>
          <w:szCs w:val="20"/>
          <w:rtl w:val="0"/>
        </w:rPr>
        <w:t xml:space="preserve"> nghề nghiệp và hướng dẫn chẩn đoán, giám định quy định tại Phụ lục 16 ban hành kèm theo Thông tư này.</w:t>
      </w:r>
    </w:p>
    <w:p w:rsidR="00000000" w:rsidDel="00000000" w:rsidP="00000000" w:rsidRDefault="00000000" w:rsidRPr="00000000" w14:paraId="0000002F">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17. Bệnh nhiễm độc cadimi nghề nghiệp và hướng dẫn chẩn đoán, giám định quy định tại Phụ lục 17 ban hành kèm theo Thông tư này.</w:t>
      </w:r>
    </w:p>
    <w:p w:rsidR="00000000" w:rsidDel="00000000" w:rsidP="00000000" w:rsidRDefault="00000000" w:rsidRPr="00000000" w14:paraId="00000030">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18. Bệnh điếc nghề nghiệp do tiếng ồn và hướng dẫn chẩn đoán giám định quy định tại Phụ lục 18 ban hành kèm theo Thông tư này.</w:t>
      </w:r>
    </w:p>
    <w:p w:rsidR="00000000" w:rsidDel="00000000" w:rsidP="00000000" w:rsidRDefault="00000000" w:rsidRPr="00000000" w14:paraId="00000031">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19. Bệnh giảm áp nghề nghiệp và hướng dẫn chẩn đoán giám định quy định tại Phụ lục 19 ban hành kèm theo Thông tư này.</w:t>
      </w:r>
    </w:p>
    <w:p w:rsidR="00000000" w:rsidDel="00000000" w:rsidP="00000000" w:rsidRDefault="00000000" w:rsidRPr="00000000" w14:paraId="00000032">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20. Bệnh nghề nghiệp do rung toàn thân và hướng dẫn chẩn đoán giám định quy định tại Phụ lục 20 ban hành kèm theo Thông tư này.</w:t>
      </w:r>
    </w:p>
    <w:p w:rsidR="00000000" w:rsidDel="00000000" w:rsidP="00000000" w:rsidRDefault="00000000" w:rsidRPr="00000000" w14:paraId="00000033">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21. Bệnh nghề nghiệp do rung cục bộ và hướng dẫn chẩn đoán giám định quy định tại Phụ lục 21 ban hành kèm theo Thông tư này.</w:t>
      </w:r>
    </w:p>
    <w:p w:rsidR="00000000" w:rsidDel="00000000" w:rsidP="00000000" w:rsidRDefault="00000000" w:rsidRPr="00000000" w14:paraId="00000034">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22. Bệnh phóng xạ nghề nghiệp và hướng dẫn chẩn đoán giám định quy định tại Phụ lục 22 ban hành kèm theo Thông tư này.</w:t>
      </w:r>
    </w:p>
    <w:p w:rsidR="00000000" w:rsidDel="00000000" w:rsidP="00000000" w:rsidRDefault="00000000" w:rsidRPr="00000000" w14:paraId="00000035">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23. Bệnh đục thể thủy tinh nghề nghiệp và hướng dẫn chẩn đoán giám định quy định tại Phụ lục 23 ban hành kèm theo Thông tư này.</w:t>
      </w:r>
    </w:p>
    <w:p w:rsidR="00000000" w:rsidDel="00000000" w:rsidP="00000000" w:rsidRDefault="00000000" w:rsidRPr="00000000" w14:paraId="00000036">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24. Bệnh nốt dầu nghề nghiệp và hướng dẫn chẩn đoán giám định quy định tại Phụ lục 24 ban hành kèm theo Thông tư này.</w:t>
      </w:r>
    </w:p>
    <w:p w:rsidR="00000000" w:rsidDel="00000000" w:rsidP="00000000" w:rsidRDefault="00000000" w:rsidRPr="00000000" w14:paraId="00000037">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25. Bệnh sạm da nghề nghiệp và hướng dẫn chẩn đoán giám định quy định tại Phụ lục 25 ban hành kèm theo Thông tư này.</w:t>
      </w:r>
    </w:p>
    <w:p w:rsidR="00000000" w:rsidDel="00000000" w:rsidP="00000000" w:rsidRDefault="00000000" w:rsidRPr="00000000" w14:paraId="00000038">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26. Bệnh viêm da tiếp xúc nghề nghiệp do crôm và hướng dẫn chẩn đoán giám định quy định tại Phụ lục 26 ban hành kèm theo Thông tư này.</w:t>
      </w:r>
    </w:p>
    <w:p w:rsidR="00000000" w:rsidDel="00000000" w:rsidP="00000000" w:rsidRDefault="00000000" w:rsidRPr="00000000" w14:paraId="00000039">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27. Bệnh da nghề nghiệp do tiếp xúc môi trường ẩm ướt và lạnh kéo dài và hướng dẫn chẩn đoán giám định quy định tại Phụ lục 27 ban hành kèm theo Thông tư này.</w:t>
      </w:r>
    </w:p>
    <w:p w:rsidR="00000000" w:rsidDel="00000000" w:rsidP="00000000" w:rsidRDefault="00000000" w:rsidRPr="00000000" w14:paraId="0000003A">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28. Bệnh da nghề nghiệp do tiếp xúc với cao su tự nhiên, hóa chất phụ gia cao su và hướng dẫn chẩn đoán giám định quy định tại Phụ lục 28 ban hành kèm theo Thông tư này.</w:t>
      </w:r>
    </w:p>
    <w:p w:rsidR="00000000" w:rsidDel="00000000" w:rsidP="00000000" w:rsidRDefault="00000000" w:rsidRPr="00000000" w14:paraId="0000003B">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29. Bệnh Leptospira nghề nghiệp và hướng dẫn chẩn đoán giám định quy định tại Phụ lục 29 ban hành kèm theo Thông tư này.</w:t>
      </w:r>
    </w:p>
    <w:p w:rsidR="00000000" w:rsidDel="00000000" w:rsidP="00000000" w:rsidRDefault="00000000" w:rsidRPr="00000000" w14:paraId="0000003C">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30. Bệnh viêm gan </w:t>
      </w:r>
      <w:r w:rsidDel="00000000" w:rsidR="00000000" w:rsidRPr="00000000">
        <w:rPr>
          <w:sz w:val="20"/>
          <w:szCs w:val="20"/>
          <w:rtl w:val="0"/>
        </w:rPr>
        <w:t xml:space="preserve">vi rút</w:t>
      </w:r>
      <w:r w:rsidDel="00000000" w:rsidR="00000000" w:rsidRPr="00000000">
        <w:rPr>
          <w:sz w:val="20"/>
          <w:szCs w:val="20"/>
          <w:rtl w:val="0"/>
        </w:rPr>
        <w:t xml:space="preserve"> B nghề nghiệp và hướng dẫn chẩn đoán giám định quy định tại Phụ lục 30 ban hành kèm theo Thông tư này.</w:t>
      </w:r>
    </w:p>
    <w:p w:rsidR="00000000" w:rsidDel="00000000" w:rsidP="00000000" w:rsidRDefault="00000000" w:rsidRPr="00000000" w14:paraId="0000003D">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31. Bệnh lao nghề nghiệp và hướng dẫn chẩn đoán giám định quy định tại Phụ lục 31 ban hành kèm theo Thông tư này.</w:t>
      </w:r>
    </w:p>
    <w:p w:rsidR="00000000" w:rsidDel="00000000" w:rsidP="00000000" w:rsidRDefault="00000000" w:rsidRPr="00000000" w14:paraId="0000003E">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32. Nhiễm HIV do tai nạn rủi ro nghề nghiệp và hướng dẫn chẩn đoán giám định quy định tại Phụ lục 32 ban hành kèm theo Thông tư này.</w:t>
      </w:r>
    </w:p>
    <w:p w:rsidR="00000000" w:rsidDel="00000000" w:rsidP="00000000" w:rsidRDefault="00000000" w:rsidRPr="00000000" w14:paraId="0000003F">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33. Bệnh viêm gan vi rút C nghề nghiệp và hướng dẫn chẩn đoán giám định quy định tại Phụ lục 33 ban hành kèm theo Thông tư này.</w:t>
      </w:r>
    </w:p>
    <w:p w:rsidR="00000000" w:rsidDel="00000000" w:rsidP="00000000" w:rsidRDefault="00000000" w:rsidRPr="00000000" w14:paraId="00000040">
      <w:pPr>
        <w:pBdr>
          <w:left w:color="auto" w:space="0" w:sz="0" w:val="none"/>
          <w:right w:color="auto" w:space="0" w:sz="0" w:val="none"/>
        </w:pBdr>
        <w:spacing w:after="0" w:before="0" w:line="276" w:lineRule="auto"/>
        <w:jc w:val="both"/>
        <w:rPr>
          <w:sz w:val="20"/>
          <w:szCs w:val="20"/>
        </w:rPr>
      </w:pPr>
      <w:r w:rsidDel="00000000" w:rsidR="00000000" w:rsidRPr="00000000">
        <w:rPr>
          <w:sz w:val="20"/>
          <w:szCs w:val="20"/>
          <w:rtl w:val="0"/>
        </w:rPr>
        <w:t xml:space="preserve">34. Bệnh ung thư trung biểu mô nghề nghiệp và hướng dẫn chẩn đoán giám định quy định tại Phụ lục 34 ban hành kèm theo Thông tư này.</w:t>
      </w:r>
    </w:p>
    <w:p w:rsidR="00000000" w:rsidDel="00000000" w:rsidP="00000000" w:rsidRDefault="00000000" w:rsidRPr="00000000" w14:paraId="00000041">
      <w:pPr>
        <w:spacing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