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3" w:lineRule="auto"/>
        <w:jc w:val="center"/>
        <w:rPr>
          <w:b w:val="1"/>
          <w:sz w:val="18"/>
          <w:szCs w:val="18"/>
        </w:rPr>
      </w:pPr>
      <w:r w:rsidDel="00000000" w:rsidR="00000000" w:rsidRPr="00000000">
        <w:rPr>
          <w:b w:val="1"/>
          <w:sz w:val="18"/>
          <w:szCs w:val="18"/>
          <w:rtl w:val="0"/>
        </w:rPr>
        <w:t xml:space="preserve">PHỤ LỤC</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3" w:lineRule="auto"/>
        <w:jc w:val="center"/>
        <w:rPr>
          <w:i w:val="1"/>
          <w:sz w:val="18"/>
          <w:szCs w:val="18"/>
        </w:rPr>
      </w:pPr>
      <w:r w:rsidDel="00000000" w:rsidR="00000000" w:rsidRPr="00000000">
        <w:rPr>
          <w:i w:val="1"/>
          <w:sz w:val="18"/>
          <w:szCs w:val="18"/>
          <w:rtl w:val="0"/>
        </w:rPr>
        <w:t xml:space="preserve">(Kèm theo Nghị định số 52/2021/NĐ-CP ngày 19 tháng 4 năm 2021 của Chính phủ)</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3" w:lineRule="auto"/>
        <w:jc w:val="center"/>
        <w:rPr>
          <w:b w:val="1"/>
          <w:sz w:val="18"/>
          <w:szCs w:val="18"/>
        </w:rPr>
      </w:pPr>
      <w:r w:rsidDel="00000000" w:rsidR="00000000" w:rsidRPr="00000000">
        <w:rPr>
          <w:b w:val="1"/>
          <w:sz w:val="18"/>
          <w:szCs w:val="18"/>
          <w:rtl w:val="0"/>
        </w:rPr>
        <w:t xml:space="preserve">CỘNG HÒA XÃ HỘI CHỦ NGHĨA VIỆT NAM</w:t>
      </w:r>
    </w:p>
    <w:p w:rsidR="00000000" w:rsidDel="00000000" w:rsidP="00000000" w:rsidRDefault="00000000" w:rsidRPr="00000000" w14:paraId="00000004">
      <w:pPr>
        <w:pBdr>
          <w:left w:color="auto" w:space="0" w:sz="0" w:val="none"/>
          <w:right w:color="auto" w:space="0" w:sz="0" w:val="none"/>
        </w:pBdr>
        <w:shd w:fill="ffffff" w:val="clear"/>
        <w:spacing w:after="120" w:before="120" w:line="255.2727272727273" w:lineRule="auto"/>
        <w:jc w:val="center"/>
        <w:rPr>
          <w:b w:val="1"/>
          <w:sz w:val="18"/>
          <w:szCs w:val="18"/>
        </w:rPr>
      </w:pPr>
      <w:r w:rsidDel="00000000" w:rsidR="00000000" w:rsidRPr="00000000">
        <w:rPr>
          <w:b w:val="1"/>
          <w:sz w:val="18"/>
          <w:szCs w:val="18"/>
          <w:rtl w:val="0"/>
        </w:rPr>
        <w:t xml:space="preserve">Độc lập - Tự do - Hạnh phúc</w:t>
      </w:r>
    </w:p>
    <w:p w:rsidR="00000000" w:rsidDel="00000000" w:rsidP="00000000" w:rsidRDefault="00000000" w:rsidRPr="00000000" w14:paraId="00000005">
      <w:pPr>
        <w:pBdr>
          <w:left w:color="auto" w:space="0" w:sz="0" w:val="none"/>
          <w:right w:color="auto" w:space="0" w:sz="0" w:val="none"/>
        </w:pBdr>
        <w:shd w:fill="ffffff" w:val="clear"/>
        <w:spacing w:after="120" w:before="120" w:line="255.2727272727273" w:lineRule="auto"/>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3" w:lineRule="auto"/>
        <w:jc w:val="center"/>
        <w:rPr>
          <w:b w:val="1"/>
          <w:sz w:val="18"/>
          <w:szCs w:val="18"/>
        </w:rPr>
      </w:pPr>
      <w:r w:rsidDel="00000000" w:rsidR="00000000" w:rsidRPr="00000000">
        <w:rPr>
          <w:b w:val="1"/>
          <w:sz w:val="18"/>
          <w:szCs w:val="18"/>
          <w:rtl w:val="0"/>
        </w:rPr>
        <w:t xml:space="preserve">GIẤY ĐỀ NGHỊ GIA HẠN NỘP THUẾ VÀ TIỀN THUẾ ĐẤT</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3" w:lineRule="auto"/>
        <w:jc w:val="center"/>
        <w:rPr>
          <w:sz w:val="18"/>
          <w:szCs w:val="18"/>
        </w:rPr>
      </w:pPr>
      <w:r w:rsidDel="00000000" w:rsidR="00000000" w:rsidRPr="00000000">
        <w:rPr>
          <w:sz w:val="18"/>
          <w:szCs w:val="18"/>
          <w:rtl w:val="0"/>
        </w:rPr>
        <w:t xml:space="preserve">□ Lần đầu         □ Thay thế</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3" w:lineRule="auto"/>
        <w:jc w:val="center"/>
        <w:rPr>
          <w:sz w:val="18"/>
          <w:szCs w:val="18"/>
        </w:rPr>
      </w:pPr>
      <w:r w:rsidDel="00000000" w:rsidR="00000000" w:rsidRPr="00000000">
        <w:rPr>
          <w:sz w:val="18"/>
          <w:szCs w:val="18"/>
          <w:rtl w:val="0"/>
        </w:rPr>
        <w:t xml:space="preserve">Kính gửi: Cơ quan thuế ........................</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[01] Tên người nộp thuế: ……………………………………………………………………….</w:t>
      </w:r>
    </w:p>
    <w:tbl>
      <w:tblPr>
        <w:tblStyle w:val="Table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570"/>
        <w:gridCol w:w="555"/>
        <w:gridCol w:w="555"/>
        <w:gridCol w:w="555"/>
        <w:gridCol w:w="555"/>
        <w:gridCol w:w="555"/>
        <w:gridCol w:w="555"/>
        <w:gridCol w:w="555"/>
        <w:gridCol w:w="570"/>
        <w:gridCol w:w="555"/>
        <w:gridCol w:w="555"/>
        <w:gridCol w:w="555"/>
        <w:gridCol w:w="555"/>
        <w:gridCol w:w="555"/>
        <w:tblGridChange w:id="0">
          <w:tblGrid>
            <w:gridCol w:w="1080"/>
            <w:gridCol w:w="570"/>
            <w:gridCol w:w="555"/>
            <w:gridCol w:w="555"/>
            <w:gridCol w:w="555"/>
            <w:gridCol w:w="555"/>
            <w:gridCol w:w="555"/>
            <w:gridCol w:w="555"/>
            <w:gridCol w:w="555"/>
            <w:gridCol w:w="570"/>
            <w:gridCol w:w="555"/>
            <w:gridCol w:w="555"/>
            <w:gridCol w:w="555"/>
            <w:gridCol w:w="555"/>
            <w:gridCol w:w="555"/>
          </w:tblGrid>
        </w:tblGridChange>
      </w:tblGrid>
      <w:tr>
        <w:trPr>
          <w:trHeight w:val="890" w:hRule="atLeast"/>
        </w:trPr>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[02] Mã số thuế:</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[03] Địa chỉ: ………………………………………………………………………………………</w:t>
      </w:r>
    </w:p>
    <w:p w:rsidR="00000000" w:rsidDel="00000000" w:rsidP="00000000" w:rsidRDefault="00000000" w:rsidRPr="00000000" w14:paraId="0000001A">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[04] Số điện thoại: ……………………………………………………………………………….</w:t>
      </w:r>
    </w:p>
    <w:p w:rsidR="00000000" w:rsidDel="00000000" w:rsidP="00000000" w:rsidRDefault="00000000" w:rsidRPr="00000000" w14:paraId="0000001B">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[05] Tên đại lý thuế (nếu có): …………………………………………………………………..</w:t>
      </w:r>
    </w:p>
    <w:tbl>
      <w:tblPr>
        <w:tblStyle w:val="Table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570"/>
        <w:gridCol w:w="555"/>
        <w:gridCol w:w="555"/>
        <w:gridCol w:w="555"/>
        <w:gridCol w:w="555"/>
        <w:gridCol w:w="555"/>
        <w:gridCol w:w="555"/>
        <w:gridCol w:w="555"/>
        <w:gridCol w:w="570"/>
        <w:gridCol w:w="555"/>
        <w:gridCol w:w="555"/>
        <w:gridCol w:w="555"/>
        <w:gridCol w:w="555"/>
        <w:gridCol w:w="555"/>
        <w:tblGridChange w:id="0">
          <w:tblGrid>
            <w:gridCol w:w="1080"/>
            <w:gridCol w:w="570"/>
            <w:gridCol w:w="555"/>
            <w:gridCol w:w="555"/>
            <w:gridCol w:w="555"/>
            <w:gridCol w:w="555"/>
            <w:gridCol w:w="555"/>
            <w:gridCol w:w="555"/>
            <w:gridCol w:w="555"/>
            <w:gridCol w:w="570"/>
            <w:gridCol w:w="555"/>
            <w:gridCol w:w="555"/>
            <w:gridCol w:w="555"/>
            <w:gridCol w:w="555"/>
            <w:gridCol w:w="555"/>
          </w:tblGrid>
        </w:tblGridChange>
      </w:tblGrid>
      <w:tr>
        <w:trPr>
          <w:trHeight w:val="890" w:hRule="atLeast"/>
        </w:trPr>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[06] Mã số thuế:</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Bdr>
                <w:left w:color="auto" w:space="0" w:sz="0" w:val="none"/>
                <w:right w:color="auto" w:space="0" w:sz="0" w:val="none"/>
              </w:pBdr>
              <w:spacing w:after="120" w:before="120" w:line="312"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2B">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[07] Loại thuế đề nghị gia hạn:</w:t>
      </w:r>
    </w:p>
    <w:p w:rsidR="00000000" w:rsidDel="00000000" w:rsidP="00000000" w:rsidRDefault="00000000" w:rsidRPr="00000000" w14:paraId="0000002C">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a) Thuế giá trị gia tăng của doanh nghiệp, tổ chức</w:t>
      </w:r>
    </w:p>
    <w:p w:rsidR="00000000" w:rsidDel="00000000" w:rsidP="00000000" w:rsidRDefault="00000000" w:rsidRPr="00000000" w14:paraId="0000002D">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b) Thuế thu nhập doanh nghiệp của doanh nghiệp, tổ chức</w:t>
      </w:r>
    </w:p>
    <w:p w:rsidR="00000000" w:rsidDel="00000000" w:rsidP="00000000" w:rsidRDefault="00000000" w:rsidRPr="00000000" w14:paraId="0000002E">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c) Thuế giá trị gia tăng và thuế thu nhập cá nhân của hộ kinh doanh, cá nhân kinh doanh</w:t>
      </w:r>
    </w:p>
    <w:p w:rsidR="00000000" w:rsidDel="00000000" w:rsidP="00000000" w:rsidRDefault="00000000" w:rsidRPr="00000000" w14:paraId="0000002F">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d) Tiền thuê đất (kê chi tiết địa chỉ từng khu đất thuê thuộc đối tượng gia hạn tiền thuê đất)</w:t>
      </w:r>
    </w:p>
    <w:p w:rsidR="00000000" w:rsidDel="00000000" w:rsidP="00000000" w:rsidRDefault="00000000" w:rsidRPr="00000000" w14:paraId="00000030">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Khu đất thuê 1: ……………….</w:t>
      </w:r>
    </w:p>
    <w:p w:rsidR="00000000" w:rsidDel="00000000" w:rsidP="00000000" w:rsidRDefault="00000000" w:rsidRPr="00000000" w14:paraId="00000031">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Khu đất thuê 2: ……………….</w:t>
      </w:r>
    </w:p>
    <w:p w:rsidR="00000000" w:rsidDel="00000000" w:rsidP="00000000" w:rsidRDefault="00000000" w:rsidRPr="00000000" w14:paraId="00000032">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33">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[08] Trường hợp được gia hạn: ……………………………………………………………….</w:t>
      </w:r>
    </w:p>
    <w:p w:rsidR="00000000" w:rsidDel="00000000" w:rsidP="00000000" w:rsidRDefault="00000000" w:rsidRPr="00000000" w14:paraId="00000034">
      <w:pPr>
        <w:pBdr>
          <w:left w:color="auto" w:space="0" w:sz="0" w:val="none"/>
          <w:right w:color="auto" w:space="0" w:sz="0" w:val="none"/>
        </w:pBdr>
        <w:shd w:fill="ffffff" w:val="clear"/>
        <w:spacing w:after="120" w:before="120" w:line="255.2727272727273" w:lineRule="auto"/>
        <w:rPr>
          <w:b w:val="1"/>
          <w:sz w:val="18"/>
          <w:szCs w:val="18"/>
        </w:rPr>
      </w:pPr>
      <w:r w:rsidDel="00000000" w:rsidR="00000000" w:rsidRPr="00000000">
        <w:rPr>
          <w:b w:val="1"/>
          <w:sz w:val="18"/>
          <w:szCs w:val="18"/>
          <w:rtl w:val="0"/>
        </w:rPr>
        <w:t xml:space="preserve">I. DOANH NGHIỆP NHỎ VÀ SIÊU NHỎ</w:t>
      </w:r>
    </w:p>
    <w:p w:rsidR="00000000" w:rsidDel="00000000" w:rsidP="00000000" w:rsidRDefault="00000000" w:rsidRPr="00000000" w14:paraId="00000035">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1. Doanh nghiệp nhỏ:</w:t>
      </w:r>
    </w:p>
    <w:tbl>
      <w:tblPr>
        <w:tblStyle w:val="Table3"/>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6.492834605061"/>
        <w:gridCol w:w="1861.8900074313817"/>
        <w:gridCol w:w="2378.56448449359"/>
        <w:gridCol w:w="2378.56448449359"/>
        <w:tblGridChange w:id="0">
          <w:tblGrid>
            <w:gridCol w:w="2406.492834605061"/>
            <w:gridCol w:w="1861.8900074313817"/>
            <w:gridCol w:w="2378.56448449359"/>
            <w:gridCol w:w="2378.56448449359"/>
          </w:tblGrid>
        </w:tblGridChange>
      </w:tblGrid>
      <w:tr>
        <w:trPr>
          <w:trHeight w:val="71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Lĩnh vực hoạt động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Số lao động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Doanh thu (VNĐ)</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Nguồn vốn (VNĐ)</w:t>
            </w:r>
          </w:p>
        </w:tc>
      </w:tr>
      <w:tr>
        <w:trPr>
          <w:trHeight w:val="6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pBdr>
                <w:left w:color="auto" w:space="0" w:sz="0" w:val="none"/>
                <w:right w:color="auto" w:space="0" w:sz="0" w:val="none"/>
              </w:pBdr>
              <w:spacing w:after="120" w:before="120" w:line="312"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pBdr>
                <w:left w:color="auto" w:space="0" w:sz="0" w:val="none"/>
                <w:right w:color="auto" w:space="0" w:sz="0" w:val="none"/>
              </w:pBdr>
              <w:spacing w:after="120" w:before="120" w:line="312"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pBdr>
                <w:left w:color="auto" w:space="0" w:sz="0" w:val="none"/>
                <w:right w:color="auto" w:space="0" w:sz="0" w:val="none"/>
              </w:pBdr>
              <w:spacing w:after="120" w:before="120" w:line="312"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pBdr>
                <w:left w:color="auto" w:space="0" w:sz="0" w:val="none"/>
                <w:right w:color="auto" w:space="0" w:sz="0" w:val="none"/>
              </w:pBdr>
              <w:spacing w:after="120" w:before="120" w:line="312"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E">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2. Doanh nghiệp siêu nhỏ:</w:t>
      </w:r>
    </w:p>
    <w:tbl>
      <w:tblPr>
        <w:tblStyle w:val="Table4"/>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6.492834605061"/>
        <w:gridCol w:w="1861.8900074313817"/>
        <w:gridCol w:w="2378.56448449359"/>
        <w:gridCol w:w="2378.56448449359"/>
        <w:tblGridChange w:id="0">
          <w:tblGrid>
            <w:gridCol w:w="2406.492834605061"/>
            <w:gridCol w:w="1861.8900074313817"/>
            <w:gridCol w:w="2378.56448449359"/>
            <w:gridCol w:w="2378.56448449359"/>
          </w:tblGrid>
        </w:tblGridChange>
      </w:tblGrid>
      <w:tr>
        <w:trPr>
          <w:trHeight w:val="71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Lĩnh vực hoạt động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Số lao động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Doanh thu (VNĐ)</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Nguồn vốn (VNĐ)</w:t>
            </w:r>
          </w:p>
        </w:tc>
      </w:tr>
      <w:tr>
        <w:trPr>
          <w:trHeight w:val="6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pBdr>
                <w:left w:color="auto" w:space="0" w:sz="0" w:val="none"/>
                <w:right w:color="auto" w:space="0" w:sz="0" w:val="none"/>
              </w:pBdr>
              <w:spacing w:after="120" w:before="120" w:line="312"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pBdr>
                <w:left w:color="auto" w:space="0" w:sz="0" w:val="none"/>
                <w:right w:color="auto" w:space="0" w:sz="0" w:val="none"/>
              </w:pBdr>
              <w:spacing w:after="120" w:before="120" w:line="312"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pBdr>
                <w:left w:color="auto" w:space="0" w:sz="0" w:val="none"/>
                <w:right w:color="auto" w:space="0" w:sz="0" w:val="none"/>
              </w:pBdr>
              <w:spacing w:after="120" w:before="120" w:line="312"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pBdr>
                <w:left w:color="auto" w:space="0" w:sz="0" w:val="none"/>
                <w:right w:color="auto" w:space="0" w:sz="0" w:val="none"/>
              </w:pBdr>
              <w:spacing w:after="120" w:before="120" w:line="312"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47">
      <w:pPr>
        <w:pBdr>
          <w:left w:color="auto" w:space="0" w:sz="0" w:val="none"/>
          <w:right w:color="auto" w:space="0" w:sz="0" w:val="none"/>
        </w:pBdr>
        <w:shd w:fill="ffffff" w:val="clear"/>
        <w:spacing w:after="120" w:before="120" w:line="255.2727272727273" w:lineRule="auto"/>
        <w:rPr>
          <w:b w:val="1"/>
          <w:sz w:val="18"/>
          <w:szCs w:val="18"/>
        </w:rPr>
      </w:pPr>
      <w:r w:rsidDel="00000000" w:rsidR="00000000" w:rsidRPr="00000000">
        <w:rPr>
          <w:b w:val="1"/>
          <w:sz w:val="18"/>
          <w:szCs w:val="18"/>
          <w:rtl w:val="0"/>
        </w:rPr>
        <w:t xml:space="preserve">II. DOANH NGHIỆP, TỔ CHỨC, HỘ KINH DOANH, CÁ NHÂN HOẠT ĐỘNG TRONG CÁC LĨNH VỰC:</w:t>
      </w:r>
    </w:p>
    <w:p w:rsidR="00000000" w:rsidDel="00000000" w:rsidP="00000000" w:rsidRDefault="00000000" w:rsidRPr="00000000" w14:paraId="00000048">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1. Nông nghiệp, lâm nghiệp và thủy sản;</w:t>
      </w:r>
    </w:p>
    <w:p w:rsidR="00000000" w:rsidDel="00000000" w:rsidP="00000000" w:rsidRDefault="00000000" w:rsidRPr="00000000" w14:paraId="00000049">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rsidR="00000000" w:rsidDel="00000000" w:rsidP="00000000" w:rsidRDefault="00000000" w:rsidRPr="00000000" w14:paraId="0000004A">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15. Xây dựng;</w:t>
      </w:r>
    </w:p>
    <w:p w:rsidR="00000000" w:rsidDel="00000000" w:rsidP="00000000" w:rsidRDefault="00000000" w:rsidRPr="00000000" w14:paraId="0000004B">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000000" w:rsidDel="00000000" w:rsidP="00000000" w:rsidRDefault="00000000" w:rsidRPr="00000000" w14:paraId="0000004C">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23. Hoạt động sáng tác, nghệ thuật và giải trí; □ 24. Hoạt động của thư viện, lưu trữ, bảo tàng và các hoạt động văn hóa khác; □ 25. Hoạt động thể thao, vui chơi giải trí;</w:t>
      </w:r>
    </w:p>
    <w:p w:rsidR="00000000" w:rsidDel="00000000" w:rsidP="00000000" w:rsidRDefault="00000000" w:rsidRPr="00000000" w14:paraId="0000004D">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26. Hoạt động chiếu phim;</w:t>
      </w:r>
    </w:p>
    <w:p w:rsidR="00000000" w:rsidDel="00000000" w:rsidP="00000000" w:rsidRDefault="00000000" w:rsidRPr="00000000" w14:paraId="0000004E">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27. Sản xuất sản phẩm công nghiệp hỗ trợ ưu tiên phát triển;</w:t>
      </w:r>
    </w:p>
    <w:p w:rsidR="00000000" w:rsidDel="00000000" w:rsidP="00000000" w:rsidRDefault="00000000" w:rsidRPr="00000000" w14:paraId="0000004F">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28. Sản xuất sản phẩm cơ khí trọng điểm;</w:t>
      </w:r>
    </w:p>
    <w:p w:rsidR="00000000" w:rsidDel="00000000" w:rsidP="00000000" w:rsidRDefault="00000000" w:rsidRPr="00000000" w14:paraId="00000050">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29. Tổ chức tín dụng, chi nhánh ngân hàng nước ngoài;</w:t>
      </w:r>
    </w:p>
    <w:p w:rsidR="00000000" w:rsidDel="00000000" w:rsidP="00000000" w:rsidRDefault="00000000" w:rsidRPr="00000000" w14:paraId="00000051">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30. Hoạt động xuất bản; □ 31. Hoạt động điện ảnh, sản xuất chương trình truyền hình, ghi âm và xuất bản âm nhạc;</w:t>
      </w:r>
    </w:p>
    <w:p w:rsidR="00000000" w:rsidDel="00000000" w:rsidP="00000000" w:rsidRDefault="00000000" w:rsidRPr="00000000" w14:paraId="00000052">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32. Hoạt động phát thanh, truyền hình;</w:t>
      </w:r>
    </w:p>
    <w:p w:rsidR="00000000" w:rsidDel="00000000" w:rsidP="00000000" w:rsidRDefault="00000000" w:rsidRPr="00000000" w14:paraId="00000053">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33. Lập trình máy vi tính, dịch vụ tư vấn và các hoạt động khác liên quan đến máy vi tính; □ 34. Hoạt động dịch vụ thông tin;</w:t>
      </w:r>
    </w:p>
    <w:p w:rsidR="00000000" w:rsidDel="00000000" w:rsidP="00000000" w:rsidRDefault="00000000" w:rsidRPr="00000000" w14:paraId="00000054">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35. Khai thác dầu thô và khí đốt tự nhiên (không gia hạn đối với thuế thu nhập doanh nghiệp của dầu thô, condensate, khí thiên nhiên thu theo hiệp định, hợp đồng);</w:t>
      </w:r>
    </w:p>
    <w:p w:rsidR="00000000" w:rsidDel="00000000" w:rsidP="00000000" w:rsidRDefault="00000000" w:rsidRPr="00000000" w14:paraId="00000055">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36. Hoạt động dịch vụ hỗ trợ khai khoáng;</w:t>
      </w:r>
    </w:p>
    <w:p w:rsidR="00000000" w:rsidDel="00000000" w:rsidP="00000000" w:rsidRDefault="00000000" w:rsidRPr="00000000" w14:paraId="00000056">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37. Sản xuất đồ uống;</w:t>
      </w:r>
    </w:p>
    <w:p w:rsidR="00000000" w:rsidDel="00000000" w:rsidP="00000000" w:rsidRDefault="00000000" w:rsidRPr="00000000" w14:paraId="00000057">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38. In, sao chép bản ghi các loại;</w:t>
      </w:r>
    </w:p>
    <w:p w:rsidR="00000000" w:rsidDel="00000000" w:rsidP="00000000" w:rsidRDefault="00000000" w:rsidRPr="00000000" w14:paraId="00000058">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39. Sản xuất than cốc, sản phẩm dầu mỏ tinh chế;</w:t>
      </w:r>
    </w:p>
    <w:p w:rsidR="00000000" w:rsidDel="00000000" w:rsidP="00000000" w:rsidRDefault="00000000" w:rsidRPr="00000000" w14:paraId="00000059">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40. Sản xuất hóa chất và sản phẩm hóa chất;</w:t>
      </w:r>
    </w:p>
    <w:p w:rsidR="00000000" w:rsidDel="00000000" w:rsidP="00000000" w:rsidRDefault="00000000" w:rsidRPr="00000000" w14:paraId="0000005A">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41. Sản xuất sản phẩm từ kim loại đúc sẵn (trừ máy móc, thiết bị);</w:t>
      </w:r>
    </w:p>
    <w:p w:rsidR="00000000" w:rsidDel="00000000" w:rsidP="00000000" w:rsidRDefault="00000000" w:rsidRPr="00000000" w14:paraId="0000005B">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42. Sản xuất mô tô, xe máy;</w:t>
      </w:r>
    </w:p>
    <w:p w:rsidR="00000000" w:rsidDel="00000000" w:rsidP="00000000" w:rsidRDefault="00000000" w:rsidRPr="00000000" w14:paraId="0000005C">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43. Sửa chữa, bảo dưỡng và lắp đặt máy móc và thiết bị;</w:t>
      </w:r>
    </w:p>
    <w:p w:rsidR="00000000" w:rsidDel="00000000" w:rsidP="00000000" w:rsidRDefault="00000000" w:rsidRPr="00000000" w14:paraId="0000005D">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44. Thoát nước và xử lý nước thải.</w:t>
      </w:r>
    </w:p>
    <w:p w:rsidR="00000000" w:rsidDel="00000000" w:rsidP="00000000" w:rsidRDefault="00000000" w:rsidRPr="00000000" w14:paraId="0000005E">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Tôi cam đoan những nội dung kê khai trên là đúng và chịu trách nhiệm trước pháp luật về những thông tin đã khai; tôi cam kết nộp đầy đủ số tiền thuế theo thời hạn nộp thuế được gia hạn.</w:t>
      </w:r>
    </w:p>
    <w:p w:rsidR="00000000" w:rsidDel="00000000" w:rsidP="00000000" w:rsidRDefault="00000000" w:rsidRPr="00000000" w14:paraId="0000005F">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w:t>
      </w:r>
    </w:p>
    <w:tbl>
      <w:tblPr>
        <w:tblStyle w:val="Table5"/>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5235"/>
        <w:tblGridChange w:id="0">
          <w:tblGrid>
            <w:gridCol w:w="3645"/>
            <w:gridCol w:w="5235"/>
          </w:tblGrid>
        </w:tblGridChange>
      </w:tblGrid>
      <w:tr>
        <w:trPr>
          <w:trHeight w:val="14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61">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NHÂN VIÊN ĐẠI LÝ THUẾ</w:t>
            </w:r>
          </w:p>
          <w:p w:rsidR="00000000" w:rsidDel="00000000" w:rsidP="00000000" w:rsidRDefault="00000000" w:rsidRPr="00000000" w14:paraId="00000062">
            <w:pPr>
              <w:pBdr>
                <w:left w:color="auto" w:space="0" w:sz="0" w:val="none"/>
                <w:right w:color="auto" w:space="0" w:sz="0" w:val="none"/>
              </w:pBdr>
              <w:spacing w:after="120" w:before="120" w:line="312" w:lineRule="auto"/>
              <w:jc w:val="center"/>
              <w:rPr>
                <w:i w:val="1"/>
                <w:sz w:val="18"/>
                <w:szCs w:val="18"/>
              </w:rPr>
            </w:pPr>
            <w:r w:rsidDel="00000000" w:rsidR="00000000" w:rsidRPr="00000000">
              <w:rPr>
                <w:i w:val="1"/>
                <w:sz w:val="18"/>
                <w:szCs w:val="18"/>
                <w:rtl w:val="0"/>
              </w:rPr>
              <w:t xml:space="preserve">(Ký, ghi rõ họ và tên)</w:t>
            </w:r>
          </w:p>
          <w:p w:rsidR="00000000" w:rsidDel="00000000" w:rsidP="00000000" w:rsidRDefault="00000000" w:rsidRPr="00000000" w14:paraId="00000063">
            <w:pPr>
              <w:pBdr>
                <w:left w:color="auto" w:space="0" w:sz="0" w:val="none"/>
                <w:right w:color="auto" w:space="0" w:sz="0" w:val="none"/>
              </w:pBdr>
              <w:spacing w:after="120" w:before="120" w:line="312" w:lineRule="auto"/>
              <w:jc w:val="center"/>
              <w:rPr>
                <w:sz w:val="18"/>
                <w:szCs w:val="18"/>
              </w:rPr>
            </w:pPr>
            <w:r w:rsidDel="00000000" w:rsidR="00000000" w:rsidRPr="00000000">
              <w:rPr>
                <w:sz w:val="18"/>
                <w:szCs w:val="18"/>
                <w:rtl w:val="0"/>
              </w:rPr>
              <w:t xml:space="preserve">Chứng chỉ hành nghề số: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pBdr>
                <w:left w:color="auto" w:space="0" w:sz="0" w:val="none"/>
                <w:right w:color="auto" w:space="0" w:sz="0" w:val="none"/>
              </w:pBdr>
              <w:spacing w:after="240" w:before="120" w:line="312" w:lineRule="auto"/>
              <w:jc w:val="center"/>
              <w:rPr>
                <w:i w:val="1"/>
                <w:sz w:val="18"/>
                <w:szCs w:val="18"/>
              </w:rPr>
            </w:pPr>
            <w:r w:rsidDel="00000000" w:rsidR="00000000" w:rsidRPr="00000000">
              <w:rPr>
                <w:i w:val="1"/>
                <w:sz w:val="18"/>
                <w:szCs w:val="18"/>
                <w:rtl w:val="0"/>
              </w:rPr>
              <w:t xml:space="preserve">Ngày… tháng...năm....</w:t>
            </w:r>
          </w:p>
          <w:p w:rsidR="00000000" w:rsidDel="00000000" w:rsidP="00000000" w:rsidRDefault="00000000" w:rsidRPr="00000000" w14:paraId="00000065">
            <w:pPr>
              <w:pBdr>
                <w:left w:color="auto" w:space="0" w:sz="0" w:val="none"/>
                <w:right w:color="auto" w:space="0" w:sz="0" w:val="none"/>
              </w:pBdr>
              <w:spacing w:after="240" w:before="120" w:line="312" w:lineRule="auto"/>
              <w:jc w:val="center"/>
              <w:rPr>
                <w:b w:val="1"/>
                <w:sz w:val="18"/>
                <w:szCs w:val="18"/>
              </w:rPr>
            </w:pPr>
            <w:r w:rsidDel="00000000" w:rsidR="00000000" w:rsidRPr="00000000">
              <w:rPr>
                <w:b w:val="1"/>
                <w:sz w:val="18"/>
                <w:szCs w:val="18"/>
                <w:rtl w:val="0"/>
              </w:rPr>
              <w:t xml:space="preserve">NGƯỜI NỘP THUẾ hoặc</w:t>
            </w:r>
          </w:p>
          <w:p w:rsidR="00000000" w:rsidDel="00000000" w:rsidP="00000000" w:rsidRDefault="00000000" w:rsidRPr="00000000" w14:paraId="00000066">
            <w:pPr>
              <w:pBdr>
                <w:left w:color="auto" w:space="0" w:sz="0" w:val="none"/>
                <w:right w:color="auto" w:space="0" w:sz="0" w:val="none"/>
              </w:pBdr>
              <w:spacing w:after="240" w:before="120" w:line="312" w:lineRule="auto"/>
              <w:jc w:val="center"/>
              <w:rPr>
                <w:b w:val="1"/>
                <w:sz w:val="18"/>
                <w:szCs w:val="18"/>
              </w:rPr>
            </w:pPr>
            <w:r w:rsidDel="00000000" w:rsidR="00000000" w:rsidRPr="00000000">
              <w:rPr>
                <w:b w:val="1"/>
                <w:sz w:val="18"/>
                <w:szCs w:val="18"/>
                <w:rtl w:val="0"/>
              </w:rPr>
              <w:t xml:space="preserve">ĐẠI DIỆN HỢP PHÁP CỦA NGƯỜI NỘP THUẾ</w:t>
            </w:r>
          </w:p>
          <w:p w:rsidR="00000000" w:rsidDel="00000000" w:rsidP="00000000" w:rsidRDefault="00000000" w:rsidRPr="00000000" w14:paraId="00000067">
            <w:pPr>
              <w:pBdr>
                <w:left w:color="auto" w:space="0" w:sz="0" w:val="none"/>
                <w:right w:color="auto" w:space="0" w:sz="0" w:val="none"/>
              </w:pBdr>
              <w:spacing w:after="240" w:before="120" w:line="312" w:lineRule="auto"/>
              <w:jc w:val="center"/>
              <w:rPr>
                <w:i w:val="1"/>
                <w:sz w:val="18"/>
                <w:szCs w:val="18"/>
              </w:rPr>
            </w:pPr>
            <w:r w:rsidDel="00000000" w:rsidR="00000000" w:rsidRPr="00000000">
              <w:rPr>
                <w:i w:val="1"/>
                <w:sz w:val="18"/>
                <w:szCs w:val="18"/>
                <w:rtl w:val="0"/>
              </w:rPr>
              <w:t xml:space="preserve">(Ký, ghi rõ họ tên; chức vụ và đóng dấu (nếu có))</w:t>
            </w:r>
          </w:p>
        </w:tc>
      </w:tr>
    </w:tbl>
    <w:p w:rsidR="00000000" w:rsidDel="00000000" w:rsidP="00000000" w:rsidRDefault="00000000" w:rsidRPr="00000000" w14:paraId="00000068">
      <w:pPr>
        <w:pBdr>
          <w:left w:color="auto" w:space="0" w:sz="0" w:val="none"/>
          <w:right w:color="auto" w:space="0" w:sz="0" w:val="none"/>
        </w:pBdr>
        <w:shd w:fill="ffffff" w:val="clear"/>
        <w:spacing w:after="120" w:before="120" w:line="255.2727272727273" w:lineRule="auto"/>
        <w:rPr>
          <w:b w:val="1"/>
          <w:i w:val="1"/>
          <w:sz w:val="18"/>
          <w:szCs w:val="18"/>
        </w:rPr>
      </w:pPr>
      <w:r w:rsidDel="00000000" w:rsidR="00000000" w:rsidRPr="00000000">
        <w:rPr>
          <w:b w:val="1"/>
          <w:i w:val="1"/>
          <w:sz w:val="18"/>
          <w:szCs w:val="18"/>
          <w:rtl w:val="0"/>
        </w:rPr>
        <w:t xml:space="preserve">Ghi chú:</w:t>
      </w:r>
    </w:p>
    <w:p w:rsidR="00000000" w:rsidDel="00000000" w:rsidP="00000000" w:rsidRDefault="00000000" w:rsidRPr="00000000" w14:paraId="00000069">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Mục I: NNT tự xác định theo quy định của Luật Hỗ trợ doanh nghiệp nhỏ và vừa số 04/2017/QH14 và Nghị định số </w:t>
      </w:r>
      <w:hyperlink r:id="rId6">
        <w:r w:rsidDel="00000000" w:rsidR="00000000" w:rsidRPr="00000000">
          <w:rPr>
            <w:color w:val="0e70c3"/>
            <w:sz w:val="18"/>
            <w:szCs w:val="18"/>
            <w:rtl w:val="0"/>
          </w:rPr>
          <w:t xml:space="preserve">39/2018/NĐ-CP</w:t>
        </w:r>
      </w:hyperlink>
      <w:r w:rsidDel="00000000" w:rsidR="00000000" w:rsidRPr="00000000">
        <w:rPr>
          <w:sz w:val="18"/>
          <w:szCs w:val="18"/>
          <w:rtl w:val="0"/>
        </w:rPr>
        <w:t xml:space="preserve"> ngày 11/3/2018 của Chính phủ quy định chi tiết một số điều của Luật Hỗ trợ doanh nghiệp nhỏ và vừa.</w:t>
      </w:r>
    </w:p>
    <w:p w:rsidR="00000000" w:rsidDel="00000000" w:rsidP="00000000" w:rsidRDefault="00000000" w:rsidRPr="00000000" w14:paraId="0000006A">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Mục II: NNT tự xác định theo quy định tại Quyết định số </w:t>
      </w:r>
      <w:hyperlink r:id="rId7">
        <w:r w:rsidDel="00000000" w:rsidR="00000000" w:rsidRPr="00000000">
          <w:rPr>
            <w:color w:val="0e70c3"/>
            <w:sz w:val="18"/>
            <w:szCs w:val="18"/>
            <w:rtl w:val="0"/>
          </w:rPr>
          <w:t xml:space="preserve">27/2018/QĐ-TTg</w:t>
        </w:r>
      </w:hyperlink>
      <w:r w:rsidDel="00000000" w:rsidR="00000000" w:rsidRPr="00000000">
        <w:rPr>
          <w:sz w:val="18"/>
          <w:szCs w:val="18"/>
          <w:rtl w:val="0"/>
        </w:rPr>
        <w:t xml:space="preserve"> ngày 06/7/2018 của Thủ tướng Chính phủ; Nghị định số </w:t>
      </w:r>
      <w:hyperlink r:id="rId8">
        <w:r w:rsidDel="00000000" w:rsidR="00000000" w:rsidRPr="00000000">
          <w:rPr>
            <w:color w:val="0e70c3"/>
            <w:sz w:val="18"/>
            <w:szCs w:val="18"/>
            <w:rtl w:val="0"/>
          </w:rPr>
          <w:t xml:space="preserve">111/2015/NĐ-CP</w:t>
        </w:r>
      </w:hyperlink>
      <w:r w:rsidDel="00000000" w:rsidR="00000000" w:rsidRPr="00000000">
        <w:rPr>
          <w:sz w:val="18"/>
          <w:szCs w:val="18"/>
          <w:rtl w:val="0"/>
        </w:rPr>
        <w:t xml:space="preserve"> ngày 03/11/2015 của Chính phủ; Quyết định số </w:t>
      </w:r>
      <w:hyperlink r:id="rId9">
        <w:r w:rsidDel="00000000" w:rsidR="00000000" w:rsidRPr="00000000">
          <w:rPr>
            <w:color w:val="0e70c3"/>
            <w:sz w:val="18"/>
            <w:szCs w:val="18"/>
            <w:rtl w:val="0"/>
          </w:rPr>
          <w:t xml:space="preserve">319/QĐ-TTg</w:t>
        </w:r>
      </w:hyperlink>
      <w:r w:rsidDel="00000000" w:rsidR="00000000" w:rsidRPr="00000000">
        <w:rPr>
          <w:sz w:val="18"/>
          <w:szCs w:val="18"/>
          <w:rtl w:val="0"/>
        </w:rPr>
        <w:t xml:space="preserve"> ngày 15/3/2018 của Thủ tướng Chính phủ. Tổ chức tín dụng, chi nhánh ngân hàng nước ngoài tự xác định theo danh mục do Ngân hàng Nhà nước Việt Nam công bố.</w:t>
      </w:r>
    </w:p>
    <w:p w:rsidR="00000000" w:rsidDel="00000000" w:rsidP="00000000" w:rsidRDefault="00000000" w:rsidRPr="00000000" w14:paraId="0000006B">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Giấy đề nghị gia hạn nộp thuế, tiền thuê đất chỉ gửi 01 lần cho cơ quan thuế quản lý trực tiếp cho toàn bộ các kỳ của các sắc thuế và tiền thuê đất được gia hạn. Phương thức nộp người nộp thuế lựa chọn như sau:</w:t>
      </w:r>
    </w:p>
    <w:p w:rsidR="00000000" w:rsidDel="00000000" w:rsidP="00000000" w:rsidRDefault="00000000" w:rsidRPr="00000000" w14:paraId="0000006C">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Người nộp thuế nộp theo phương thức điện tử gửi tới Cổng thông tin điện tử của cơ quan thuế.</w:t>
      </w:r>
    </w:p>
    <w:p w:rsidR="00000000" w:rsidDel="00000000" w:rsidP="00000000" w:rsidRDefault="00000000" w:rsidRPr="00000000" w14:paraId="0000006D">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Người nộp thuế nộp trực tiếp tới cơ quan thuế hoặc nộp qua dịch vụ bưu chính.</w:t>
      </w:r>
    </w:p>
    <w:p w:rsidR="00000000" w:rsidDel="00000000" w:rsidP="00000000" w:rsidRDefault="00000000" w:rsidRPr="00000000" w14:paraId="0000006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uvienphapluat.vn/van-ban/thuong-mai/quyet-dinh-319-qd-ttg-2018-phe-duyet-chien-luoc-phat-trien-nganh-co-khi-viet-nam-377519.aspx" TargetMode="External"/><Relationship Id="rId5" Type="http://schemas.openxmlformats.org/officeDocument/2006/relationships/styles" Target="styles.xml"/><Relationship Id="rId6" Type="http://schemas.openxmlformats.org/officeDocument/2006/relationships/hyperlink" Target="https://thuvienphapluat.vn/van-ban/doanh-nghiep/nghi-dinh-39-2018-nd-cp-huong-dan-luat-ho-tro-doanh-nghiep-nho-va-vua-366561.aspx" TargetMode="External"/><Relationship Id="rId7" Type="http://schemas.openxmlformats.org/officeDocument/2006/relationships/hyperlink" Target="https://thuvienphapluat.vn/van-ban/doanh-nghiep/quyet-dinh-27-2018-qd-ttg-ban-hanh-he-thong-nganh-kinh-te-viet-nam-387358.aspx" TargetMode="External"/><Relationship Id="rId8" Type="http://schemas.openxmlformats.org/officeDocument/2006/relationships/hyperlink" Target="https://thuvienphapluat.vn/van-ban/linh-vuc-khac/nghi-dinh-111-2015-nd-cp-phat-trien-cong-nghiep-ho-tro-29469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