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93"/>
        <w:gridCol w:w="524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24/2026/QH16</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24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rtl w:val="0"/>
        </w:rPr>
        <w:t>SỬA ĐỔI, BỔ SUNG MỘT SỐ ĐIỀU CỦA LUẬT ĐẦU TƯ</w:t>
      </w:r>
      <w:bookmarkEnd w:id="1"/>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 xml:space="preserve"> đã được sửa đổi, bổ sung một số điều theo Nghị quyết số </w:t>
      </w:r>
      <w:bookmarkStart w:id="3" w:name="tvpllink_cpjxhzionh"/>
      <w:r>
        <w:rPr>
          <w:i/>
          <w:iCs/>
          <w:rtl w:val="0"/>
        </w:rPr>
        <w:t>203/2025/QH15</w:t>
      </w:r>
      <w:bookmarkEnd w:id="3"/>
      <w:r>
        <w:rPr>
          <w:i/>
          <w:iCs/>
          <w:rtl w:val="0"/>
        </w:rPr>
        <w:t>;</w:t>
      </w:r>
    </w:p>
    <w:p>
      <w:pPr>
        <w:bidi w:val="0"/>
        <w:spacing w:before="120" w:beforeAutospacing="0" w:after="280" w:afterAutospacing="1"/>
      </w:pPr>
      <w:r>
        <w:rPr>
          <w:i/>
          <w:iCs/>
          <w:rtl w:val="0"/>
        </w:rPr>
        <w:t xml:space="preserve">Quốc hội ban hành </w:t>
      </w:r>
      <w:bookmarkStart w:id="4" w:name="tvpllink_mbfkravsmf"/>
      <w:r>
        <w:rPr>
          <w:i/>
          <w:iCs/>
          <w:rtl w:val="0"/>
        </w:rPr>
        <w:t>Luật sửa đổi, bổ sung một số điều của Luật Đầu tư số 143/2025/QH15</w:t>
      </w:r>
      <w:bookmarkEnd w:id="4"/>
      <w:r>
        <w:rPr>
          <w:i/>
          <w:iCs/>
          <w:rtl w:val="0"/>
        </w:rPr>
        <w:t>.</w:t>
      </w:r>
    </w:p>
    <w:p>
      <w:pPr>
        <w:bidi w:val="0"/>
        <w:spacing w:before="120" w:beforeAutospacing="0" w:after="280" w:afterAutospacing="1"/>
      </w:pPr>
      <w:bookmarkStart w:id="5" w:name="dieu_1"/>
      <w:r>
        <w:rPr>
          <w:b/>
          <w:bCs/>
          <w:rtl w:val="0"/>
        </w:rPr>
        <w:t>Điều 1. Sửa đổi, bổ sung một số điều của Luật Đầu tư</w:t>
      </w:r>
      <w:bookmarkEnd w:id="5"/>
    </w:p>
    <w:p>
      <w:pPr>
        <w:bidi w:val="0"/>
        <w:spacing w:before="120" w:beforeAutospacing="0" w:after="280" w:afterAutospacing="1"/>
      </w:pPr>
      <w:r>
        <w:rPr>
          <w:rtl w:val="0"/>
        </w:rPr>
        <w:t>1. Bổ sung một số điểm, khoản của </w:t>
      </w:r>
      <w:bookmarkStart w:id="6" w:name="dc_1"/>
      <w:r>
        <w:rPr>
          <w:rtl w:val="0"/>
        </w:rPr>
        <w:t>Điều 6</w:t>
      </w:r>
      <w:bookmarkEnd w:id="6"/>
      <w:r>
        <w:rPr>
          <w:rtl w:val="0"/>
        </w:rPr>
        <w:t> như sau:</w:t>
      </w:r>
    </w:p>
    <w:p>
      <w:pPr>
        <w:bidi w:val="0"/>
        <w:spacing w:before="120" w:beforeAutospacing="0" w:after="280" w:afterAutospacing="1"/>
      </w:pPr>
      <w:bookmarkStart w:id="7" w:name="diem_a_1_1"/>
      <w:r>
        <w:rPr>
          <w:rtl w:val="0"/>
        </w:rPr>
        <w:t>a) Bổ sung điểm m vào sau</w:t>
      </w:r>
      <w:bookmarkEnd w:id="7"/>
      <w:r>
        <w:rPr>
          <w:rtl w:val="0"/>
        </w:rPr>
        <w:t xml:space="preserve"> </w:t>
      </w:r>
      <w:bookmarkStart w:id="8" w:name="dc_2"/>
      <w:r>
        <w:rPr>
          <w:rtl w:val="0"/>
        </w:rPr>
        <w:t>điểm l khoản 1</w:t>
      </w:r>
      <w:bookmarkEnd w:id="8"/>
      <w:r>
        <w:rPr>
          <w:rtl w:val="0"/>
        </w:rPr>
        <w:t xml:space="preserve"> </w:t>
      </w:r>
      <w:bookmarkStart w:id="9" w:name="diem_a_1_1_name"/>
      <w:r>
        <w:rPr>
          <w:rtl w:val="0"/>
        </w:rPr>
        <w:t>như sau:</w:t>
      </w:r>
      <w:bookmarkEnd w:id="9"/>
    </w:p>
    <w:p>
      <w:pPr>
        <w:bidi w:val="0"/>
        <w:spacing w:before="120" w:beforeAutospacing="0" w:after="280" w:afterAutospacing="1"/>
      </w:pPr>
      <w:r>
        <w:rPr>
          <w:rtl w:val="0"/>
        </w:rPr>
        <w:t>“m) Kinh doanh khí N</w:t>
      </w:r>
      <w:r>
        <w:rPr>
          <w:vertAlign w:val="subscript"/>
          <w:rtl w:val="0"/>
        </w:rPr>
        <w:t>2</w:t>
      </w:r>
      <w:r>
        <w:rPr>
          <w:rtl w:val="0"/>
        </w:rPr>
        <w:t>O để sử dụng cho con người qua đường hô hấp, trừ mục đích y tế, công nghệ thực phẩm, kiểm nghiệm, nghiên cứu khoa học và mục đích khác theo quy định của Chính phủ.”;</w:t>
      </w:r>
    </w:p>
    <w:p>
      <w:pPr>
        <w:bidi w:val="0"/>
        <w:spacing w:before="120" w:beforeAutospacing="0" w:after="280" w:afterAutospacing="1"/>
      </w:pPr>
      <w:bookmarkStart w:id="10" w:name="diem_b_1_1"/>
      <w:r>
        <w:rPr>
          <w:rtl w:val="0"/>
        </w:rPr>
        <w:t>b) Bổ sung khoản 2a vào sau</w:t>
      </w:r>
      <w:bookmarkEnd w:id="10"/>
      <w:r>
        <w:rPr>
          <w:rtl w:val="0"/>
        </w:rPr>
        <w:t xml:space="preserve"> </w:t>
      </w:r>
      <w:bookmarkStart w:id="11" w:name="dc_3"/>
      <w:r>
        <w:rPr>
          <w:rtl w:val="0"/>
        </w:rPr>
        <w:t>khoản 2</w:t>
      </w:r>
      <w:bookmarkEnd w:id="11"/>
      <w:r>
        <w:rPr>
          <w:rtl w:val="0"/>
        </w:rPr>
        <w:t xml:space="preserve"> </w:t>
      </w:r>
      <w:bookmarkStart w:id="12" w:name="diem_b_1_1_name"/>
      <w:r>
        <w:rPr>
          <w:rtl w:val="0"/>
        </w:rPr>
        <w:t>như sau:</w:t>
      </w:r>
      <w:bookmarkEnd w:id="12"/>
    </w:p>
    <w:p>
      <w:pPr>
        <w:bidi w:val="0"/>
        <w:spacing w:before="120" w:beforeAutospacing="0" w:after="280" w:afterAutospacing="1"/>
      </w:pPr>
      <w:r>
        <w:rPr>
          <w:rtl w:val="0"/>
        </w:rPr>
        <w:t>“2a. Chính phủ quy định chi tiết điểm m khoản 1 Điều này.”.</w:t>
      </w:r>
    </w:p>
    <w:p>
      <w:pPr>
        <w:bidi w:val="0"/>
        <w:spacing w:before="120" w:beforeAutospacing="0" w:after="280" w:afterAutospacing="1"/>
      </w:pPr>
      <w:bookmarkStart w:id="13" w:name="khoan_2_1"/>
      <w:r>
        <w:rPr>
          <w:rtl w:val="0"/>
        </w:rPr>
        <w:t>2. Thay thế Phụ lục IV về Danh mục ngành, nghề đầu tư kinh doanh có điều kiện bằng Phụ lục ban hành kèm theo Luật này.</w:t>
      </w:r>
      <w:bookmarkEnd w:id="13"/>
    </w:p>
    <w:p>
      <w:pPr>
        <w:bidi w:val="0"/>
        <w:spacing w:before="120" w:beforeAutospacing="0" w:after="280" w:afterAutospacing="1"/>
      </w:pPr>
      <w:bookmarkStart w:id="14" w:name="dieu_2"/>
      <w:r>
        <w:rPr>
          <w:b/>
          <w:bCs/>
          <w:rtl w:val="0"/>
        </w:rPr>
        <w:t>Điều 2. Điều khoản thi hành</w:t>
      </w:r>
      <w:bookmarkEnd w:id="14"/>
    </w:p>
    <w:p>
      <w:pPr>
        <w:bidi w:val="0"/>
        <w:spacing w:before="120" w:beforeAutospacing="0" w:after="280" w:afterAutospacing="1"/>
      </w:pPr>
      <w:r>
        <w:rPr>
          <w:rtl w:val="0"/>
        </w:rPr>
        <w:t>1. Luật này có hiệu lực thi hành từ ngày 01 tháng 3 năm 2027, trừ quy định tại khoản 2 Điều này.</w:t>
      </w:r>
    </w:p>
    <w:p>
      <w:pPr>
        <w:bidi w:val="0"/>
        <w:spacing w:before="120" w:beforeAutospacing="0" w:after="280" w:afterAutospacing="1"/>
      </w:pPr>
      <w:r>
        <w:rPr>
          <w:rtl w:val="0"/>
        </w:rPr>
        <w:t>2. Khoản 1 Điều 1 và khoản 1 Điều 3 của Luật này có hiệu lực thi hành từ ngày 01 tháng 01 năm 2027.</w:t>
      </w:r>
    </w:p>
    <w:p>
      <w:pPr>
        <w:bidi w:val="0"/>
        <w:spacing w:before="120" w:beforeAutospacing="0" w:after="280" w:afterAutospacing="1"/>
      </w:pPr>
      <w:r>
        <w:rPr>
          <w:rtl w:val="0"/>
        </w:rPr>
        <w:t xml:space="preserve">3. Bộ, cơ quan ngang bộ quy định giải pháp, phương án quản lý thay thế (trong trường hợp cần thiết) đối với ngành, nghề đầu tư kinh doanh có điều kiện tại Phụ lục IV của </w:t>
      </w:r>
      <w:bookmarkStart w:id="15" w:name="tvpllink_mbfkravsmf_1"/>
      <w:r>
        <w:rPr>
          <w:rtl w:val="0"/>
        </w:rPr>
        <w:t>Luật Đầu tư số 143/2025/QH15</w:t>
      </w:r>
      <w:bookmarkEnd w:id="15"/>
      <w:r>
        <w:rPr>
          <w:rtl w:val="0"/>
        </w:rPr>
        <w:t> nhưng đã bị bãi bỏ theo quy định của Luật này trước ngày 01 tháng 3 năm 2027.</w:t>
      </w:r>
    </w:p>
    <w:p>
      <w:pPr>
        <w:bidi w:val="0"/>
        <w:spacing w:before="120" w:beforeAutospacing="0" w:after="280" w:afterAutospacing="1"/>
      </w:pPr>
      <w:bookmarkStart w:id="16" w:name="khoan_4_2"/>
      <w:r>
        <w:rPr>
          <w:rtl w:val="0"/>
        </w:rPr>
        <w:t>4. Sửa đổi, bổ sung</w:t>
      </w:r>
      <w:bookmarkEnd w:id="16"/>
      <w:r>
        <w:rPr>
          <w:rtl w:val="0"/>
        </w:rPr>
        <w:t xml:space="preserve"> </w:t>
      </w:r>
      <w:bookmarkStart w:id="17" w:name="dc_4"/>
      <w:r>
        <w:rPr>
          <w:rtl w:val="0"/>
        </w:rPr>
        <w:t>khoản 1 và khoản 2 Điều 88 của Luật Xây dựng số 135/2025/QH15</w:t>
      </w:r>
      <w:bookmarkEnd w:id="17"/>
      <w:r>
        <w:rPr>
          <w:rtl w:val="0"/>
        </w:rPr>
        <w:t> </w:t>
      </w:r>
      <w:bookmarkStart w:id="18" w:name="khoan_4_2_name"/>
      <w:r>
        <w:rPr>
          <w:rtl w:val="0"/>
        </w:rPr>
        <w:t>như sau:</w:t>
      </w:r>
      <w:bookmarkEnd w:id="18"/>
    </w:p>
    <w:p>
      <w:pPr>
        <w:bidi w:val="0"/>
        <w:spacing w:before="120" w:beforeAutospacing="0" w:after="280" w:afterAutospacing="1"/>
      </w:pPr>
      <w:r>
        <w:rPr>
          <w:rtl w:val="0"/>
        </w:rPr>
        <w:t>“1. Cá nhân đảm nhận chức danh trong hoạt động xây dựng phải có chứng chỉ hành nghề hoạt động xây dựng tương ứng theo quy định của Luật này, bao gồm: chủ nhiệm, chủ trì lập quy hoạch đô thị và nông thôn; chủ nhiệm khảo sát xây dựng; chủ nhiệm, chủ trì thiết kế, thẩm tra thiết kế xây dựng; giám sát thi công xây dựng. Chứng chỉ hành nghề được phân thành hạng I, hạng II và hạng III.</w:t>
      </w:r>
    </w:p>
    <w:p>
      <w:pPr>
        <w:bidi w:val="0"/>
        <w:spacing w:before="120" w:beforeAutospacing="0" w:after="280" w:afterAutospacing="1"/>
      </w:pPr>
      <w:r>
        <w:rPr>
          <w:rtl w:val="0"/>
        </w:rPr>
        <w:t>2. Cá nhân đảm nhận chức danh giám đốc quản lý dự án đầu tư xây dựng, chỉ huy trưởng công trường phải đáp ứng điều kiện năng lực, kinh nghiệm nghề nghiệp.”.</w:t>
      </w:r>
    </w:p>
    <w:p>
      <w:pPr>
        <w:bidi w:val="0"/>
        <w:spacing w:before="120" w:beforeAutospacing="0" w:after="280" w:afterAutospacing="1"/>
      </w:pPr>
      <w:bookmarkStart w:id="19" w:name="khoan_5_2"/>
      <w:r>
        <w:rPr>
          <w:rtl w:val="0"/>
        </w:rPr>
        <w:t>5. Bãi bỏ</w:t>
      </w:r>
      <w:bookmarkEnd w:id="19"/>
      <w:r>
        <w:rPr>
          <w:rtl w:val="0"/>
        </w:rPr>
        <w:t xml:space="preserve"> </w:t>
      </w:r>
      <w:bookmarkStart w:id="20" w:name="dc_5"/>
      <w:r>
        <w:rPr>
          <w:rtl w:val="0"/>
        </w:rPr>
        <w:t>khoản 6 Điều 29 của Luật Đường bộ số 35/2024/QH15</w:t>
      </w:r>
      <w:bookmarkEnd w:id="20"/>
      <w:r>
        <w:rPr>
          <w:rtl w:val="0"/>
        </w:rPr>
        <w:t> </w:t>
      </w:r>
      <w:bookmarkStart w:id="21" w:name="khoan_5_2_name"/>
      <w:r>
        <w:rPr>
          <w:rtl w:val="0"/>
        </w:rPr>
        <w:t>đã được sửa đổi, bổ sung một số điều theo</w:t>
      </w:r>
      <w:bookmarkEnd w:id="21"/>
      <w:r>
        <w:rPr>
          <w:rtl w:val="0"/>
        </w:rPr>
        <w:t xml:space="preserve"> Luật số </w:t>
      </w:r>
      <w:bookmarkStart w:id="22" w:name="tvpllink_lftuwaklxs"/>
      <w:r>
        <w:rPr>
          <w:rtl w:val="0"/>
        </w:rPr>
        <w:t>118/2025/QH15</w:t>
      </w:r>
      <w:bookmarkEnd w:id="22"/>
      <w:r>
        <w:rPr>
          <w:rtl w:val="0"/>
        </w:rPr>
        <w:t>.</w:t>
      </w:r>
    </w:p>
    <w:p>
      <w:pPr>
        <w:bidi w:val="0"/>
        <w:spacing w:before="120" w:beforeAutospacing="0" w:after="280" w:afterAutospacing="1"/>
      </w:pPr>
      <w:bookmarkStart w:id="23" w:name="dieu_3"/>
      <w:r>
        <w:rPr>
          <w:b/>
          <w:bCs/>
          <w:rtl w:val="0"/>
        </w:rPr>
        <w:t>Điều 3. Điều khoản chuyển tiếp</w:t>
      </w:r>
      <w:bookmarkEnd w:id="23"/>
    </w:p>
    <w:p>
      <w:pPr>
        <w:bidi w:val="0"/>
        <w:spacing w:before="120" w:beforeAutospacing="0" w:after="280" w:afterAutospacing="1"/>
      </w:pPr>
      <w:r>
        <w:rPr>
          <w:rtl w:val="0"/>
        </w:rPr>
        <w:t>1. Hợp đồng kinh doanh khí N</w:t>
      </w:r>
      <w:r>
        <w:rPr>
          <w:vertAlign w:val="subscript"/>
          <w:rtl w:val="0"/>
        </w:rPr>
        <w:t>2</w:t>
      </w:r>
      <w:r>
        <w:rPr>
          <w:rtl w:val="0"/>
        </w:rPr>
        <w:t>O để sử dụng cho con người qua đường hô hấp, trừ mục đích y tế, công nghệ thực phẩm, kiểm nghiệm, nghiên cứu khoa học và mục đích khác theo quy định của Chính phủ đã giao kết thì chấm dứt hiệu lực từ ngày 01 tháng 01 năm 2027.</w:t>
      </w:r>
    </w:p>
    <w:p>
      <w:pPr>
        <w:bidi w:val="0"/>
        <w:spacing w:before="120" w:beforeAutospacing="0" w:after="280" w:afterAutospacing="1"/>
      </w:pPr>
      <w:r>
        <w:rPr>
          <w:rtl w:val="0"/>
        </w:rPr>
        <w:t>Trong thời hạn tối đa 45 ngày từ ngày 01 tháng 01 năm 2027, các bên tham gia hợp đồng thực hiện thanh lý hợp đồng theo quy định của pháp luật về dân sự và quy định khác của pháp luật có liên quan.</w:t>
      </w:r>
    </w:p>
    <w:p>
      <w:pPr>
        <w:bidi w:val="0"/>
        <w:spacing w:before="120" w:beforeAutospacing="0" w:after="280" w:afterAutospacing="1"/>
      </w:pPr>
      <w:r>
        <w:rPr>
          <w:rtl w:val="0"/>
        </w:rPr>
        <w:t>2. Chính phủ quy định xử lý chuyển tiếp đối với hoạt động dịch vụ hỗ trợ cấp thị thực của cơ sở kinh doanh được ủy quyền đã thực hiện trước ngày 01 tháng 3 năm 2027.</w:t>
      </w:r>
    </w:p>
    <w:p>
      <w:pPr>
        <w:bidi w:val="0"/>
        <w:spacing w:before="120" w:beforeAutospacing="0" w:after="280" w:afterAutospacing="1"/>
      </w:pPr>
      <w:r>
        <w:rPr>
          <w:rtl w:val="0"/>
        </w:rPr>
        <w:t xml:space="preserve">3. Đối với các ngành, nghề đầu tư kinh doanh có điều kiện quy định tại Phụ lục IV của </w:t>
      </w:r>
      <w:bookmarkStart w:id="24" w:name="tvpllink_mbfkravsmf_2"/>
      <w:r>
        <w:rPr>
          <w:rtl w:val="0"/>
        </w:rPr>
        <w:t>Luật Đầu tư số 143/2025/QH15</w:t>
      </w:r>
      <w:bookmarkEnd w:id="24"/>
      <w:r>
        <w:rPr>
          <w:rtl w:val="0"/>
        </w:rPr>
        <w:t> nhưng đã bị bãi bỏ theo quy định của Luật này thì thực hiện như sau:</w:t>
      </w:r>
    </w:p>
    <w:p>
      <w:pPr>
        <w:bidi w:val="0"/>
        <w:spacing w:before="120" w:beforeAutospacing="0" w:after="280" w:afterAutospacing="1"/>
      </w:pPr>
      <w:r>
        <w:rPr>
          <w:rtl w:val="0"/>
        </w:rPr>
        <w:t>a) Tổ chức, cá nhân được hoạt động đầu tư kinh doanh trong các ngành, nghề này mà không cần đáp ứng điều kiện đầu tư kinh doanh;</w:t>
      </w:r>
    </w:p>
    <w:p>
      <w:pPr>
        <w:bidi w:val="0"/>
        <w:spacing w:before="120" w:beforeAutospacing="0" w:after="280" w:afterAutospacing="1"/>
      </w:pPr>
      <w:r>
        <w:rPr>
          <w:rtl w:val="0"/>
        </w:rPr>
        <w:t>b) Trường hợp có nhu cầu, tổ chức, cá nhân được tiếp tục sử dụng các loại giấy phép, giấy chứng nhận, chứng chỉ, văn bản xác nhận hoặc văn bản cho phép đầu tư kinh doanh khác đã được cơ quan nhà nước có thẩm quyền cấp đến hết thời hạn của văn bản, giấy tờ đó mà không phải thực hiện thủ tục cấp, điều chỉnh, gia hạn;</w:t>
      </w:r>
    </w:p>
    <w:p>
      <w:pPr>
        <w:bidi w:val="0"/>
        <w:spacing w:before="120" w:beforeAutospacing="0" w:after="280" w:afterAutospacing="1"/>
      </w:pPr>
      <w:r>
        <w:rPr>
          <w:rtl w:val="0"/>
        </w:rPr>
        <w:t>c) Trường hợp hồ sơ đề nghị cấp, điều chỉnh, gia hạn các loại giấy phép, giấy chứng nhận, chứng chỉ, văn bản xác nhận hoặc văn bản cho phép đầu tư kinh doanh khác đã được cơ quan nhà nước có thẩm quyền tiếp nhận hợp lệ trước ngày Luật này có hiệu lực thi hành nhưng chưa trả kết quả, cơ quan nhà nước có thẩm quyền thông báo về việc ngừng giải quyết và trả hồ sơ cho cá nhân, tổ chức đã nộp.</w:t>
      </w:r>
    </w:p>
    <w:p>
      <w:pPr>
        <w:bidi w:val="0"/>
        <w:spacing w:before="120" w:beforeAutospacing="0" w:after="280" w:afterAutospacing="1"/>
      </w:pPr>
      <w:r>
        <w:rPr>
          <w:rtl w:val="0"/>
        </w:rPr>
        <w:t> </w:t>
      </w:r>
    </w:p>
    <w:p>
      <w:pPr>
        <w:bidi w:val="0"/>
        <w:spacing w:before="120" w:beforeAutospacing="0" w:after="280" w:afterAutospacing="1"/>
      </w:pPr>
      <w:r>
        <w:rPr>
          <w:i/>
          <w:iCs/>
          <w:rtl w:val="0"/>
        </w:rPr>
        <w:t>Luật này được Quốc hội nước Cộng hòa xã hội chủ nghĩa Việt Nam khóa XVI, Kỳ họp không thường lệ thứ Nhất thông qua ngày 24 tháng 8 năm 2026.</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277"/>
        <w:gridCol w:w="4363"/>
      </w:tblGrid>
      <w:tr>
        <w:tblPrEx>
          <w:tblW w:w="5000" w:type="pct"/>
          <w:jc w:val="left"/>
          <w:tblCellMar>
            <w:top w:w="0" w:type="dxa"/>
            <w:left w:w="0" w:type="dxa"/>
            <w:bottom w:w="0" w:type="dxa"/>
            <w:right w:w="0" w:type="dxa"/>
          </w:tblCellMar>
        </w:tblPrEx>
        <w:trPr>
          <w:jc w:val="left"/>
        </w:trPr>
        <w:tc>
          <w:tcPr>
            <w:tcW w:w="2475" w:type="pct"/>
            <w:shd w:val="clear" w:color="auto" w:fill="auto"/>
            <w:tcMar>
              <w:top w:w="0" w:type="dxa"/>
              <w:left w:w="7" w:type="dxa"/>
              <w:bottom w:w="0" w:type="dxa"/>
              <w:right w:w="7" w:type="dxa"/>
            </w:tcMar>
          </w:tcPr>
          <w:p>
            <w:pPr>
              <w:bidi w:val="0"/>
              <w:spacing w:before="120" w:beforeAutospacing="0" w:after="0" w:afterAutospacing="0"/>
            </w:pPr>
            <w:r>
              <w:rPr>
                <w:rtl w:val="0"/>
              </w:rPr>
              <w:t> </w:t>
            </w:r>
          </w:p>
        </w:tc>
        <w:tc>
          <w:tcPr>
            <w:tcW w:w="2525" w:type="pct"/>
            <w:shd w:val="clear" w:color="auto" w:fill="auto"/>
            <w:tcMar>
              <w:top w:w="0" w:type="dxa"/>
              <w:left w:w="7" w:type="dxa"/>
              <w:bottom w:w="0" w:type="dxa"/>
              <w:right w:w="7" w:type="dxa"/>
            </w:tcMar>
          </w:tcPr>
          <w:p>
            <w:pPr>
              <w:bidi w:val="0"/>
              <w:spacing w:before="120" w:beforeAutospacing="0" w:after="0" w:afterAutospacing="0"/>
              <w:jc w:val="center"/>
            </w:pPr>
            <w:r>
              <w:rPr>
                <w:b/>
                <w:bCs/>
                <w:rtl w:val="0"/>
              </w:rPr>
              <w:t>CHỦ TỊCH QUỐC HỘI</w:t>
            </w:r>
            <w:r>
              <w:rPr>
                <w:rtl w:val="0"/>
              </w:rPr>
              <w:br/>
            </w:r>
            <w:r>
              <w:rPr>
                <w:rtl w:val="0"/>
              </w:rPr>
              <w:br/>
            </w:r>
            <w:r>
              <w:rPr>
                <w:rtl w:val="0"/>
              </w:rPr>
              <w:br/>
            </w:r>
            <w:r>
              <w:rPr>
                <w:rtl w:val="0"/>
              </w:rPr>
              <w:br/>
            </w:r>
            <w:r>
              <w:rPr>
                <w:rtl w:val="0"/>
              </w:rPr>
              <w:br/>
            </w:r>
            <w:r>
              <w:rPr>
                <w:b/>
                <w:bCs/>
                <w:rtl w:val="0"/>
              </w:rPr>
              <w:t>Trần Thanh Mẫn</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5" w:name="chuong_pl_1"/>
      <w:r>
        <w:rPr>
          <w:b/>
          <w:bCs/>
          <w:rtl w:val="0"/>
        </w:rPr>
        <w:t>Phụ lục</w:t>
      </w:r>
      <w:bookmarkEnd w:id="25"/>
    </w:p>
    <w:p>
      <w:pPr>
        <w:bidi w:val="0"/>
        <w:spacing w:before="120" w:beforeAutospacing="0" w:after="280" w:afterAutospacing="1"/>
        <w:jc w:val="center"/>
      </w:pPr>
      <w:r>
        <w:rPr>
          <w:i/>
          <w:iCs/>
          <w:rtl w:val="0"/>
        </w:rPr>
        <w:t>(Ban hành kèm theo Luật số 24/2026/QH16)</w:t>
      </w:r>
    </w:p>
    <w:p>
      <w:pPr>
        <w:bidi w:val="0"/>
        <w:spacing w:before="120" w:beforeAutospacing="0" w:after="280" w:afterAutospacing="1"/>
        <w:jc w:val="center"/>
      </w:pPr>
      <w:r>
        <w:rPr>
          <w:b/>
          <w:bCs/>
          <w:rtl w:val="0"/>
        </w:rPr>
        <w:t>“</w:t>
      </w:r>
      <w:bookmarkStart w:id="26" w:name="chuong_pl_2"/>
      <w:r>
        <w:rPr>
          <w:b/>
          <w:bCs/>
          <w:rtl w:val="0"/>
        </w:rPr>
        <w:t>Phụ lục IV</w:t>
      </w:r>
      <w:bookmarkEnd w:id="26"/>
    </w:p>
    <w:p>
      <w:pPr>
        <w:bidi w:val="0"/>
        <w:spacing w:before="120" w:beforeAutospacing="0" w:after="280" w:afterAutospacing="1"/>
        <w:jc w:val="center"/>
      </w:pPr>
      <w:bookmarkStart w:id="27" w:name="chuong_pl_2_name"/>
      <w:r>
        <w:rPr>
          <w:b/>
          <w:bCs/>
          <w:rtl w:val="0"/>
        </w:rPr>
        <w:t>DANH MỤC NGÀNH, NGHỀ ĐẦU TƯ KINH DOANH CÓ ĐIỀU KIỆN</w:t>
      </w:r>
      <w:bookmarkEnd w:id="27"/>
    </w:p>
    <w:p>
      <w:pPr>
        <w:bidi w:val="0"/>
        <w:spacing w:before="120" w:beforeAutospacing="0" w:after="280" w:afterAutospacing="1"/>
        <w:jc w:val="center"/>
      </w:pPr>
      <w:r>
        <w:rPr>
          <w:i/>
          <w:iCs/>
          <w:rtl w:val="0"/>
        </w:rPr>
        <w:t xml:space="preserve">(Ban hành kèm theo </w:t>
      </w:r>
      <w:bookmarkStart w:id="28" w:name="tvpllink_mbfkravsmf_3"/>
      <w:r>
        <w:rPr>
          <w:i/>
          <w:iCs/>
          <w:rtl w:val="0"/>
        </w:rPr>
        <w:t>Luật Đầu tư số 143/2025/QH15</w:t>
      </w:r>
      <w:bookmarkEnd w:id="28"/>
      <w:r>
        <w:rPr>
          <w:i/>
          <w:iCs/>
          <w:rtl w:val="0"/>
        </w:rPr>
        <w:t> đã được sửa đổi, bổ sung một số điều theo Luật số 24/2026/QH16)</w:t>
      </w:r>
    </w:p>
    <w:tbl>
      <w:tblPr>
        <w:tblW w:w="5000" w:type="pct"/>
        <w:jc w:val="left"/>
        <w:tblCellMar>
          <w:top w:w="0" w:type="dxa"/>
          <w:left w:w="0" w:type="dxa"/>
          <w:bottom w:w="0" w:type="dxa"/>
          <w:right w:w="0" w:type="dxa"/>
        </w:tblCellMar>
      </w:tblPr>
      <w:tblGrid>
        <w:gridCol w:w="674"/>
        <w:gridCol w:w="7966"/>
      </w:tblGrid>
      <w:tr>
        <w:tblPrEx>
          <w:tblW w:w="5000" w:type="pct"/>
          <w:jc w:val="left"/>
          <w:tblCellMar>
            <w:top w:w="0" w:type="dxa"/>
            <w:left w:w="0" w:type="dxa"/>
            <w:bottom w:w="0" w:type="dxa"/>
            <w:right w:w="0" w:type="dxa"/>
          </w:tblCellMar>
        </w:tblPrEx>
        <w:trPr>
          <w:jc w:val="left"/>
        </w:trPr>
        <w:tc>
          <w:tcPr>
            <w:tcW w:w="390" w:type="pct"/>
            <w:tcBorders>
              <w:top w:val="single" w:sz="8" w:space="0" w:color="000000"/>
              <w:left w:val="single" w:sz="8" w:space="0" w:color="000000"/>
              <w:bottom w:val="single" w:sz="8" w:space="0" w:color="000000"/>
              <w:right w:val="single" w:sz="8" w:space="0" w:color="000000"/>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b/>
                <w:bCs/>
                <w:rtl w:val="0"/>
              </w:rPr>
              <w:t>STT</w:t>
            </w:r>
          </w:p>
        </w:tc>
        <w:tc>
          <w:tcPr>
            <w:tcW w:w="4610" w:type="pct"/>
            <w:tcBorders>
              <w:top w:val="single" w:sz="8" w:space="0" w:color="auto"/>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b/>
                <w:bCs/>
                <w:rtl w:val="0"/>
              </w:rPr>
              <w:t>NGÀNH, NGHỀ</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Sản xuất con dấu</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công cụ hỗ trợ (bao gồm cả sửa chữa)</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các loại pháo, trừ pháo nổ</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thiết bị, phần mềm ngụy trang dùng để ghi âm, ghi hình, định vị, thiết bị gây nhiễu, phá sóng thông tin di động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cầm đồ</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xoa bóp</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bảo vệ</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Hành nghề luật sư</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Hành nghề công chứng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Hành nghề giám định tư pháp</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kiểm toán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kho ngoại quan, địa điểm thu gom hàng lẻ</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địa điểm tập kết, kiểm tra, giám sát hải quan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chứng khoán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đăng ký, lưu ký, bù trừ và thanh toán chứng khoán; dịch vụ hỗ trợ giao dịch trên sàn giao dịch các-bon trong nước</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kinh doanh bảo hiểm (không bao gồm dịch vụ phụ trợ bảo hiểm)</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thẩm định giá</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xổ số</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trò chơi có thưởng (bao gồm trò chơi điện tử có thưởng dành cho người nước ngoài, casino và đặt cược)</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xếp hạng tín nhiệm</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quản lý quỹ bảo hiểm hưu trí bổ sung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xăng dầu</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vật liệu nổ công nghiệp (bao gồm cả hoạt động tiêu hủy)</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tiền chất thuốc nổ</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ngành, nghề có sử dụng vật liệu nổ công nghiệp và tiền chất thuốc nổ</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nổ mìn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 xml:space="preserve">Sản xuất, kinh doanh hóa chất, trừ hóa chất thuộc danh mục hóa chất, khoáng vật cấm quy định tại Phụ lục II ban hành kèm theo </w:t>
            </w:r>
            <w:bookmarkStart w:id="29" w:name="tvpllink_mbfkravsmf_4"/>
            <w:r>
              <w:rPr>
                <w:rtl w:val="0"/>
              </w:rPr>
              <w:t>Luật Đầu tư số 143/2025/QH15</w:t>
            </w:r>
            <w:bookmarkEnd w:id="29"/>
            <w:r>
              <w:rPr>
                <w:rtl w:val="0"/>
              </w:rPr>
              <w:t>; dịch vụ tồn trữ hóa chất; hoạt động tư vấn chuyên ngành hóa chất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29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sản phẩm thuốc lá, nguyên liệu thuốc lá, máy móc, thiết bị thuộc chuyên ngành thuốc lá, trừ thuốc lá điện tử, thuốc lá nung nóng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thực phẩm thuộc lĩnh vực quản lý chuyên ngành của Bộ Công Thương, Bộ Nông nghiệp và Môi trường, Bộ Y tế</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Sở Giao dịch hàng hóa</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phát điện, truyền tải điện, phân phối điện, bán buôn điện, bán lẻ điện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Xuất khẩu gạo</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tiền chất công nghiệp</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theo phương thức bán hàng đa cấp</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thương mại điện tử: quản lý và vận hành nền tảng thương mại điện tử trung gian, mạng xã hội hoạt động thương mại điện tử, nền tảng thương mại điện tử tích hợp; chứng thực hợp đồng điện tử trong thương mại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giáo dục nghề nghiệp</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đánh giá kỹ năng nghề</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39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kiểm định kỹ thuật an toàn lao động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đưa người lao động đi làm việc ở nước ngoài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cai nghiện ma túy tự nguyện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vận tải đường bộ</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Sản xuất, lắp ráp, nhập khẩu xe ô tô</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kiểm định xe cơ giới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đào tạo lái xe ô tô</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sát hạch lái xe</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thẩm tra an toàn giao thông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đào tạo thuyền viên và người lái phương tiện thủy nội địa</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49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Đào tạo, huấn luyện thuyền viên hàng hải và tổ chức tuyển dụng, cung ứng thuyền viên hàng hải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vận tải hàng không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thiết kế, sản xuất, bảo dưỡng, thử nghiệm tàu bay, động cơ tàu bay, cánh quạt tàu bay và trang thiết bị tàu bay tại Việt Nam</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nhập khẩu, tạm nhập tái xuất, tạm xuất tái nhập, thử nghiệm, sửa chữa, bảo dưỡng tàu bay không người lái, phương tiện bay khác, động cơ tàu bay, cánh quạt tàu bay và trang bị, thiết bị của tàu bay không người lái, phương tiện bay khác</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cảng hàng không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hàng không tại cảng hàng không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đào tạo, huấn luyện nghiệp vụ nhân viên hàng không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vận tải đường sắt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kết cấu hạ tầng đường sắt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vận chuyển hàng nguy hiểm</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59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bất động sản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Hành nghề quản lý dự án đầu tư xây dựng và chỉ huy trưởng công trường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Hành nghề khảo sát xây dựng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Hành nghề thiết kế, thẩm tra thiết kế xây dựng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Hành nghề tư vấn giám sát thi công xây dựng công trình</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thí nghiệm chuyên ngành xây dựng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Hành nghề tư vấn lập quy hoạch đô thị và nông thôn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bưu chính</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viễn thông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tin cậy</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69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của nhà xuất bản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in, trừ in bao bì không chứa nhãn hàng hóa</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mạng xã hội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trò chơi trên mạng viễn thông, mạng Internet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phát thanh, truyền hình trả tiền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thiết lập trang thông tin điện tử tổng hợp</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Dịch vụ gia công, sửa chữa hàng hóa thuộc Danh mục sản phẩm công nghệ thông tin đã qua sử dụng cấm nhập khẩu cho thương nhân nước ngoài để tiêu thụ ở nước ngoài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xác thực điện tử</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sản phẩm, dịch vụ an ninh mạng (không bao gồm kinh doanh sản phẩm, dịch vụ mật mã dân sự)</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phát hành báo chí nhập khẩu</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79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sản phẩm, dịch vụ mật mã dân sự</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giáo dục mầm non, giáo dục phổ thông, giáo dục đại học, giáo dục thường xuyên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của cơ sở giáo dục nước ngoài và phân hiệu cơ sở giáo dục nước ngoài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Khai thác thủy sản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thủy sản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Sản xuất thức ăn thủy sản, sản phẩm xử lý môi trường nuôi trồng thủy sản, sản xuất thức ăn chăn nuôi, sản phẩm xử lý chất thải chăn nuôi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Đăng kiểm tàu cá</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thuốc bảo vệ thực vật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xử lý vật thể thuộc diện kiểm dịch thực vật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khảo nghiệm thuốc bảo vệ thực vật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89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thuốc thú y, vắc xin, chế phẩm sinh học, vi sinh vật, hóa chất dùng trong thú y</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xét nghiệm, phẫu thuật động vật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tiêm phòng, chẩn đoán bệnh, kê đơn, chữa bệnh, chăm sóc sức khỏe động vật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kiểm nghiệm, khảo nghiệm thuốc thú y (bao gồm thuốc thú y, thuốc thú y thủy sản, vắc xin, chế phẩm sinh học, vi sinh vật, hóa chất dùng trong thú y, thú y thủy sản)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chăn nuôi trang trại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giết mổ gia súc, gia cầm</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Sản xuất phân bón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khảo nghiệm phân bón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giống vật nuôi, sản xuất giống cây trồng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Sản xuất, ương dưỡng giống thủy sản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99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sản phẩm biến đổi gen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khám bệnh, chữa bệnh</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dược</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Sản xuất mỹ phẩm</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thiết bị y tế</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tiến hành công việc bức xạ</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hỗ trợ ứng dụng năng lượng nguyên tử</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đánh giá sự phù hợp</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đánh giá, thẩm định giá và giám định công nghệ</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đại diện quyền sở hữu trí tuệ (bao gồm dịch vụ đại diện quyền tác giả, quyền liên quan, dịch vụ đại diện sở hữu công nghiệp và dịch vụ đại diện quyền đối với giống cây trồng)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109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phổ biến phim</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giám định di vật, cổ vật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lập quy hoạch, dự án, thiết kế, tổ chức thi công, tư vấn giám sát thi công dự án bảo quản, tu bổ và phục hồi di tích</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ka-ra-ô-kê (karaoke), vũ trường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lữ hành</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hoạt động thể thao của doanh nghiệp thể thao, câu lạc bộ thể thao chuyên nghiệp</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lưu trú</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di vật, cổ vật, trừ kinh doanh xuất khẩu di vật, cổ vật; kinh doanh dịch vụ bảo quản, phục chế, số hóa, xây dựng cơ sở dữ liệu di vật, cổ vật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Nhập khẩu hàng hóa văn hóa thuộc diện quản lý chuyên ngành của Bộ Văn hóa, Thể thao và Du lịch</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đo đạc và bản đồ</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119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dự báo, cảnh báo khí tượng thủy văn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khoan nước dưới đất, thăm dò nước dưới đất</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khai thác tài nguyên nước</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thăm dò khoáng sản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Khai thác khoáng sản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vận chuyển, xử lý chất thải nguy hại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Nhập khẩu phế liệu</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quan trắc môi trường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kinh doanh của ngân hàng thương mại</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128</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kinh doanh của tổ chức tín dụng phi ngân hàng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129</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kinh doanh của ngân hàng hợp tác xã, quỹ tín dụng nhân dân, tổ chức tài chính vi mô</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130</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Cung ứng dịch vụ trung gian thanh toán, cung ứng dịch vụ thanh toán không qua tài khoản thanh toán của khách hàng; cung ứng dịch vụ tiền di động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131</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Cung ứng dịch vụ thông tin tín dụng</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132</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vàng, trừ vàng trang sức, mỹ nghệ</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133</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sản phẩm, dịch vụ trung gian, phân tích, tổng hợp dữ liệu</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134</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Kinh doanh dịch vụ sàn dữ liệu</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135</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cung cấp dịch vụ liên quan đến tài sản mã hóa</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136</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Dịch vụ xử lý dữ liệu cá nhân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jc w:val="center"/>
            </w:pPr>
            <w:r>
              <w:rPr>
                <w:rtl w:val="0"/>
              </w:rPr>
              <w:t>137</w:t>
            </w:r>
          </w:p>
        </w:tc>
        <w:tc>
          <w:tcPr>
            <w:tcW w:w="4610" w:type="pct"/>
            <w:tcBorders>
              <w:top w:val="nil"/>
              <w:left w:val="nil"/>
              <w:bottom w:val="single" w:sz="8" w:space="0" w:color="auto"/>
              <w:right w:val="single" w:sz="8" w:space="0" w:color="auto"/>
            </w:tcBorders>
            <w:shd w:val="clear" w:color="auto" w:fill="auto"/>
            <w:tcMar>
              <w:top w:w="0" w:type="dxa"/>
              <w:left w:w="7" w:type="dxa"/>
              <w:bottom w:w="0" w:type="dxa"/>
              <w:right w:w="7" w:type="dxa"/>
            </w:tcMar>
            <w:vAlign w:val="center"/>
          </w:tcPr>
          <w:p>
            <w:pPr>
              <w:bidi w:val="0"/>
              <w:spacing w:before="120" w:beforeAutospacing="0" w:after="0" w:afterAutospacing="0"/>
            </w:pPr>
            <w:r>
              <w:rPr>
                <w:rtl w:val="0"/>
              </w:rPr>
              <w:t>Hoạt động dịch vụ hỗ trợ cấp thị thực của cơ sở kinh doanh được ủy quyền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