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rtl w:val="0"/>
              </w:rPr>
              <w:t>66.17/2026/NQ-CP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15 tháng 5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QUYẾT</w:t>
      </w:r>
      <w:bookmarkEnd w:id="0"/>
    </w:p>
    <w:p>
      <w:pPr>
        <w:bidi w:val="0"/>
        <w:spacing w:before="120" w:beforeAutospacing="0" w:after="280" w:afterAutospacing="1"/>
        <w:jc w:val="center"/>
      </w:pPr>
      <w:bookmarkStart w:id="1" w:name="loai_1_name"/>
      <w:r>
        <w:rPr>
          <w:rtl w:val="0"/>
        </w:rPr>
        <w:t>CẮT GIẢM, SỬA ĐỔI NGÀNH, NGHỀ ĐẦU TƯ KINH DOANH CÓ ĐIỀU KIỆN</w:t>
      </w:r>
      <w:bookmarkEnd w:id="1"/>
    </w:p>
    <w:p>
      <w:pPr>
        <w:bidi w:val="0"/>
        <w:spacing w:before="120" w:beforeAutospacing="0" w:after="280" w:afterAutospacing="1"/>
      </w:pPr>
      <w:r>
        <w:rPr>
          <w:i/>
          <w:iCs/>
          <w:rtl w:val="0"/>
        </w:rPr>
        <w:t>Căn cứ Luật Tổ chức Chính phủ số 63/2025/QH15;</w:t>
      </w:r>
    </w:p>
    <w:p>
      <w:pPr>
        <w:bidi w:val="0"/>
        <w:spacing w:before="120" w:beforeAutospacing="0" w:after="280" w:afterAutospacing="1"/>
      </w:pPr>
      <w:r>
        <w:rPr>
          <w:i/>
          <w:iCs/>
          <w:rtl w:val="0"/>
        </w:rPr>
        <w:t>Căn cứ Luật Đầu tư số 143/2025/QH15;</w:t>
      </w:r>
    </w:p>
    <w:p>
      <w:pPr>
        <w:bidi w:val="0"/>
        <w:spacing w:before="120" w:beforeAutospacing="0" w:after="280" w:afterAutospacing="1"/>
      </w:pPr>
      <w:r>
        <w:rPr>
          <w:i/>
          <w:iCs/>
          <w:rtl w:val="0"/>
        </w:rPr>
        <w:t>Căn cứ Luật Ban hành văn bản quy phạm pháp luật số 64/2025/QH15, được sửa đổi, bổ sung bởi Luật số 87/2025/QH15;</w:t>
      </w:r>
    </w:p>
    <w:p>
      <w:pPr>
        <w:bidi w:val="0"/>
        <w:spacing w:before="120" w:beforeAutospacing="0" w:after="280" w:afterAutospacing="1"/>
      </w:pPr>
      <w:r>
        <w:rPr>
          <w:i/>
          <w:iCs/>
          <w:rtl w:val="0"/>
        </w:rPr>
        <w:t>Căn cứ Nghị quyết số 206/2025/QH15 của Quốc hội về cơ chế đặc biệt xử lý khó khăn, vướng mắc do quy định của pháp luật;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Chính phủ ban hành Nghị quyết cắt giảm, sửa đổi ngành, nghề đầu tư kinh doanh có điều kiện.</w:t>
      </w:r>
    </w:p>
    <w:p>
      <w:pPr>
        <w:bidi w:val="0"/>
        <w:spacing w:before="120" w:beforeAutospacing="0" w:after="280" w:afterAutospacing="1"/>
      </w:pPr>
      <w:bookmarkStart w:id="2" w:name="dieu_1"/>
      <w:r>
        <w:rPr>
          <w:b/>
          <w:bCs/>
          <w:rtl w:val="0"/>
        </w:rPr>
        <w:t>Điều 1. Phạm vi điều chỉnh và đối tượng áp dụng</w:t>
      </w:r>
      <w:bookmarkEnd w:id="2"/>
    </w:p>
    <w:p>
      <w:pPr>
        <w:bidi w:val="0"/>
        <w:spacing w:before="120" w:beforeAutospacing="0" w:after="280" w:afterAutospacing="1"/>
      </w:pPr>
      <w:r>
        <w:rPr>
          <w:rtl w:val="0"/>
        </w:rPr>
        <w:t>1. Nghị quyết này quy định việc cắt giảm, sửa đổi ngành, nghề đầu tư kinh doanh có điều kiện quy định tại Phụ lục IV của Luật Đầu tư số 143/2025/QH15 (sau đây gọi là Luật Đầu tư).</w:t>
      </w:r>
    </w:p>
    <w:p>
      <w:pPr>
        <w:bidi w:val="0"/>
        <w:spacing w:before="120" w:beforeAutospacing="0" w:after="280" w:afterAutospacing="1"/>
      </w:pPr>
      <w:r>
        <w:rPr>
          <w:rtl w:val="0"/>
        </w:rPr>
        <w:t>2. Nghị quyết này áp dụng đối với nhà đầu tư và cơ quan, tổ chức, cá nhân liên quan đến hoạt động đầu tư kinh doanh.</w:t>
      </w:r>
    </w:p>
    <w:p>
      <w:pPr>
        <w:bidi w:val="0"/>
        <w:spacing w:before="120" w:beforeAutospacing="0" w:after="280" w:afterAutospacing="1"/>
      </w:pPr>
      <w:bookmarkStart w:id="3" w:name="dieu_2"/>
      <w:r>
        <w:rPr>
          <w:b/>
          <w:bCs/>
          <w:rtl w:val="0"/>
        </w:rPr>
        <w:t>Điều 2. Nguyên tắc cắt giảm, sửa đổi ngành, nghề đầu tư kinh doanh có điều kiện</w:t>
      </w:r>
      <w:bookmarkEnd w:id="3"/>
    </w:p>
    <w:p>
      <w:pPr>
        <w:bidi w:val="0"/>
        <w:spacing w:before="120" w:beforeAutospacing="0" w:after="280" w:afterAutospacing="1"/>
      </w:pPr>
      <w:r>
        <w:rPr>
          <w:rtl w:val="0"/>
        </w:rPr>
        <w:t xml:space="preserve">1. Cắt giảm những ngành, nghề không thật sự cần thiết vì lý do quốc phòng, an ninh quốc gia, trật tự, an toàn xã hội, đạo đức xã hội, sức khỏe của cộng đồng theo quy định tại </w:t>
      </w:r>
      <w:bookmarkStart w:id="4" w:name="dc_2"/>
      <w:r>
        <w:rPr>
          <w:rtl w:val="0"/>
        </w:rPr>
        <w:t>khoản 1 Điều 7 của Luật Đầu tư</w:t>
      </w:r>
      <w:bookmarkEnd w:id="4"/>
      <w:r>
        <w:rPr>
          <w:rtl w:val="0"/>
        </w:rPr>
        <w:t>.</w:t>
      </w:r>
    </w:p>
    <w:p>
      <w:pPr>
        <w:bidi w:val="0"/>
        <w:spacing w:before="120" w:beforeAutospacing="0" w:after="280" w:afterAutospacing="1"/>
      </w:pPr>
      <w:r>
        <w:rPr>
          <w:rtl w:val="0"/>
        </w:rPr>
        <w:t>2. Cắt giảm những ngành, nghề mà điều kiện đầu tư kinh doanh có thể nghiên cứu quản lý thông qua tiêu chuẩn, quy chuẩn kỹ thuật hoặc tiêu chuẩn nghề để quản lý theo phương thức hậu kiểm.</w:t>
      </w:r>
    </w:p>
    <w:p>
      <w:pPr>
        <w:bidi w:val="0"/>
        <w:spacing w:before="120" w:beforeAutospacing="0" w:after="280" w:afterAutospacing="1"/>
      </w:pPr>
      <w:r>
        <w:rPr>
          <w:rtl w:val="0"/>
        </w:rPr>
        <w:t>3. Cắt giảm, sửa đổi những ngành, nghề mà điều kiện đầu tư kinh doanh không rõ ràng hoặc có tính chất tương tự nhau, đã được kiểm soát thông qua hoạt động quản lý khác hoặc những ngành, nghề mà từ khi được quy định cho đến nay vẫn chưa ban hành được điều kiện đầu tư kinh doanh hoặc đã không còn quy định điều kiện đầu tư kinh doanh.</w:t>
      </w:r>
    </w:p>
    <w:p>
      <w:pPr>
        <w:bidi w:val="0"/>
        <w:spacing w:before="120" w:beforeAutospacing="0" w:after="280" w:afterAutospacing="1"/>
      </w:pPr>
      <w:bookmarkStart w:id="5" w:name="dieu_3"/>
      <w:r>
        <w:rPr>
          <w:b/>
          <w:bCs/>
          <w:rtl w:val="0"/>
        </w:rPr>
        <w:t>Điều 3. Danh mục ngành, nghề đầu tư kinh doanh có điều kiện</w:t>
      </w:r>
      <w:bookmarkEnd w:id="5"/>
    </w:p>
    <w:p>
      <w:pPr>
        <w:bidi w:val="0"/>
        <w:spacing w:before="120" w:beforeAutospacing="0" w:after="280" w:afterAutospacing="1"/>
      </w:pPr>
      <w:r>
        <w:rPr>
          <w:rtl w:val="0"/>
        </w:rPr>
        <w:t>1. Ban hành Danh mục ngành, nghề đầu tư kinh doanh có điều kiện kèm theo Phụ lục của Nghị quyết này.</w:t>
      </w:r>
    </w:p>
    <w:p>
      <w:pPr>
        <w:bidi w:val="0"/>
        <w:spacing w:before="120" w:beforeAutospacing="0" w:after="280" w:afterAutospacing="1"/>
      </w:pPr>
      <w:r>
        <w:rPr>
          <w:rtl w:val="0"/>
        </w:rPr>
        <w:t>2. Bộ trưởng, Thủ trưởng cơ quan ngang bộ có trách nhiệm nghiên cứu, quy định giải pháp, phương án quản lý thay thế đối với các ngành, nghề đầu tư kinh doanh có điều kiện được bãi bỏ, sửa đổi tại Nghị quyết này, đảm bảo hiệu lực, hiệu quả của công tác quản lý nhà nước.</w:t>
      </w:r>
    </w:p>
    <w:p>
      <w:pPr>
        <w:bidi w:val="0"/>
        <w:spacing w:before="120" w:beforeAutospacing="0" w:after="280" w:afterAutospacing="1"/>
      </w:pPr>
      <w:bookmarkStart w:id="6" w:name="dieu_4"/>
      <w:r>
        <w:rPr>
          <w:b/>
          <w:bCs/>
          <w:rtl w:val="0"/>
        </w:rPr>
        <w:t>Điều 4. Tổ chức thực hiện</w:t>
      </w:r>
      <w:bookmarkEnd w:id="6"/>
    </w:p>
    <w:p>
      <w:pPr>
        <w:bidi w:val="0"/>
        <w:spacing w:before="120" w:beforeAutospacing="0" w:after="280" w:afterAutospacing="1"/>
      </w:pPr>
      <w:r>
        <w:rPr>
          <w:rtl w:val="0"/>
        </w:rPr>
        <w:t>1. Bộ Tài chính chịu trách nhiệm rà soát, đề xuất sửa đổi, bổ sung Phụ lục IV của Luật Đầu tư để bảo đảm tính thống nhất, đồng bộ.</w:t>
      </w:r>
    </w:p>
    <w:p>
      <w:pPr>
        <w:bidi w:val="0"/>
        <w:spacing w:before="120" w:beforeAutospacing="0" w:after="280" w:afterAutospacing="1"/>
      </w:pPr>
      <w:r>
        <w:rPr>
          <w:rtl w:val="0"/>
        </w:rPr>
        <w:t>2. Các Bộ trưởng, Thủ trưởng cơ quan ngang bộ ban hành tiêu chuẩn, quy chuẩn kỹ thuật hoặc tiêu chuẩn nghề đối với những ngành, nghề được cắt giảm tại Nghị quyết này (trong trường hợp cần thiết), từ đó xây dựng quy trình, thủ tục để quản lý theo phương thức hậu kiểm trước ngày 01 tháng 7 năm 2026. Bộ Khoa học và Công nghệ có trách nhiệm phối hợp với các bộ, ngành để ban hành các quy chuẩn kỹ thuật, đảm bảo có hiệu lực cùng thời điểm có hiệu lực của Nghị quyết này.</w:t>
      </w:r>
    </w:p>
    <w:p>
      <w:pPr>
        <w:bidi w:val="0"/>
        <w:spacing w:before="120" w:beforeAutospacing="0" w:after="280" w:afterAutospacing="1"/>
      </w:pPr>
      <w:r>
        <w:rPr>
          <w:rtl w:val="0"/>
        </w:rPr>
        <w:t>Việc xây dựng văn bản quy phạm pháp luật quy định tiêu chuẩn, quy chuẩn kỹ thuật hoặc tiêu chuẩn nghề trong trường hợp này được thực hiện theo trình tự, thủ tục rút gọn.</w:t>
      </w:r>
    </w:p>
    <w:p>
      <w:pPr>
        <w:bidi w:val="0"/>
        <w:spacing w:before="120" w:beforeAutospacing="0" w:after="280" w:afterAutospacing="1"/>
      </w:pPr>
      <w:r>
        <w:rPr>
          <w:rtl w:val="0"/>
        </w:rPr>
        <w:t>3. Các Bộ trưởng, Thủ trưởng cơ quan ngang bộ, Chủ tịch Ủy ban nhân dân các tỉnh, thành phố trực thuộc trung ương chịu trách nhiệm thi hành Nghị quyết này bảo đảm công khai, minh bạch, hiệu quả, khả thi; không để sơ hở, tham nhũng, tiêu cực, thất thoát, lãng phí.</w:t>
      </w:r>
    </w:p>
    <w:p>
      <w:pPr>
        <w:bidi w:val="0"/>
        <w:spacing w:before="120" w:beforeAutospacing="0" w:after="280" w:afterAutospacing="1"/>
      </w:pPr>
      <w:r>
        <w:rPr>
          <w:rtl w:val="0"/>
        </w:rPr>
        <w:t xml:space="preserve">4. Người đứng đầu các cơ quan, đơn vị, cán bộ, công chức, viên chức, người tham gia xây dựng, ban hành Nghị quyết này được xem xét loại trừ, miễn hoặc giảm trách nhiệm theo quy định tại </w:t>
      </w:r>
      <w:bookmarkStart w:id="7" w:name="dc_1"/>
      <w:r>
        <w:rPr>
          <w:rtl w:val="0"/>
        </w:rPr>
        <w:t>khoản 7 Điều 6 Nghị quyết số 206/2025/QH15</w:t>
      </w:r>
      <w:bookmarkEnd w:id="7"/>
    </w:p>
    <w:p>
      <w:pPr>
        <w:bidi w:val="0"/>
        <w:spacing w:before="120" w:beforeAutospacing="0" w:after="280" w:afterAutospacing="1"/>
      </w:pPr>
      <w:bookmarkStart w:id="8" w:name="dieu_5"/>
      <w:r>
        <w:rPr>
          <w:b/>
          <w:bCs/>
          <w:rtl w:val="0"/>
        </w:rPr>
        <w:t>Điều 5. Điều khoản chuyển tiếp</w:t>
      </w:r>
      <w:bookmarkEnd w:id="8"/>
    </w:p>
    <w:p>
      <w:pPr>
        <w:bidi w:val="0"/>
        <w:spacing w:before="120" w:beforeAutospacing="0" w:after="280" w:afterAutospacing="1"/>
      </w:pPr>
      <w:r>
        <w:rPr>
          <w:rtl w:val="0"/>
        </w:rPr>
        <w:t>Đối với các ngành, nghề đầu tư kinh doanh có điều kiện quy định tại Luật Đầu tư đã được cắt giảm theo quy định của Nghị quyết này, tổ chức, cá nhân được tiếp tục sử dụng các loại giấy phép, giấy chứng nhận, chứng chỉ, văn bản xác nhận hoặc hình thức văn bản cho phép đầu tư, kinh doanh khác do cơ quan nhà nước có thẩm quyền đã cấp đến hết thời hạn của văn bản, giấy tờ đó.</w:t>
      </w:r>
    </w:p>
    <w:p>
      <w:pPr>
        <w:bidi w:val="0"/>
        <w:spacing w:before="120" w:beforeAutospacing="0" w:after="280" w:afterAutospacing="1"/>
      </w:pPr>
      <w:bookmarkStart w:id="9" w:name="dieu_6"/>
      <w:r>
        <w:rPr>
          <w:b/>
          <w:bCs/>
          <w:rtl w:val="0"/>
        </w:rPr>
        <w:t>Điều 6. Hiệu lực thi hành</w:t>
      </w:r>
      <w:bookmarkEnd w:id="9"/>
    </w:p>
    <w:p>
      <w:pPr>
        <w:bidi w:val="0"/>
        <w:spacing w:before="120" w:beforeAutospacing="0" w:after="280" w:afterAutospacing="1"/>
      </w:pPr>
      <w:r>
        <w:rPr>
          <w:rtl w:val="0"/>
        </w:rPr>
        <w:t>1. Nghị quyết này có hiệu lực thi hành kể từ ngày 01 tháng 7 năm 2026 đến hết ngày 28 tháng 02 năm 2027, trừ trường hợp quy định tại khoản 2 Điều này.</w:t>
      </w:r>
    </w:p>
    <w:p>
      <w:pPr>
        <w:bidi w:val="0"/>
        <w:spacing w:before="120" w:beforeAutospacing="0" w:after="280" w:afterAutospacing="1"/>
      </w:pPr>
      <w:r>
        <w:rPr>
          <w:rtl w:val="0"/>
        </w:rPr>
        <w:t>2. Trường hợp luật, nghị quyết của Quốc hội, pháp lệnh, nghị quyết của Ủy ban Thường vụ Quốc hội, nghị quyết của Chính phủ có quy định về ngành, nghề đầu tư kinh doanh có điều kiện liên quan đến quy định tại Nghị quyết này được thông qua hoặc ban hành và thời điểm có hiệu lực trong khoảng thời gian từ ngày Nghị quyết này được ký ban hành đến hết ngày 28 tháng 02 năm 2027 thì các quy định tương ứng trong Nghị quyết này hết hiệu lực kể từ thời điểm các văn bản quy phạm pháp luật đó có hiệu lực.</w:t>
      </w:r>
    </w:p>
    <w:p>
      <w:pPr>
        <w:bidi w:val="0"/>
        <w:spacing w:before="120" w:beforeAutospacing="0" w:after="280" w:afterAutospacing="1"/>
      </w:pPr>
      <w:r>
        <w:rPr>
          <w:rtl w:val="0"/>
        </w:rPr>
        <w:t xml:space="preserve">3. Trong thời gian </w:t>
      </w:r>
      <w:r>
        <w:rPr>
          <w:rtl w:val="0"/>
        </w:rPr>
        <w:t>q</w:t>
      </w:r>
      <w:r>
        <w:rPr>
          <w:rtl w:val="0"/>
        </w:rPr>
        <w:t>uy định của Nghị quyết này có hiệu lực thi hành, nếu quy định về ngành, nghề đầu tư kinh doanh có điều kiện tại Nghị quyết này khác với các văn bản quy phạm pháp luật có liên quan thì thực hiện theo quy định của Nghị quyết này, trừ trường hợp quy định tại khoản 2 Điều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280" w:afterAutospacing="1"/>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Quốc hội (để b/c);</w:t>
            </w:r>
            <w:r>
              <w:rPr>
                <w:sz w:val="16"/>
                <w:rtl w:val="0"/>
              </w:rPr>
              <w:br/>
            </w:r>
            <w:r>
              <w:rPr>
                <w:sz w:val="16"/>
                <w:rtl w:val="0"/>
              </w:rPr>
              <w:t>- Ủy ban Thường vụ Quốc hội (để b/c);</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C</w:t>
            </w:r>
            <w:r>
              <w:rPr>
                <w:sz w:val="16"/>
                <w:rtl w:val="0"/>
              </w:rPr>
              <w:t>Đ</w:t>
            </w:r>
            <w:r>
              <w:rPr>
                <w:sz w:val="16"/>
                <w:rtl w:val="0"/>
              </w:rPr>
              <w:t>S (2b).</w:t>
            </w:r>
            <w:r>
              <w:rPr>
                <w:rtl w:val="0"/>
              </w:rPr>
              <w:t xml:space="preserve"> </w:t>
            </w:r>
          </w:p>
          <w:p>
            <w:pPr>
              <w:bidi w:val="0"/>
              <w:spacing w:after="0" w:afterAutospacing="0"/>
              <w:rPr>
                <w:rtl w:val="0"/>
              </w:rPr>
            </w:pP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Phạm Thị Thanh Trà</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0" w:name="chuong_pl"/>
      <w:r>
        <w:rPr>
          <w:b/>
          <w:bCs/>
          <w:sz w:val="24"/>
          <w:rtl w:val="0"/>
        </w:rPr>
        <w:t>PHỤ LỤC</w:t>
      </w:r>
      <w:bookmarkEnd w:id="10"/>
    </w:p>
    <w:p>
      <w:pPr>
        <w:bidi w:val="0"/>
        <w:spacing w:before="120" w:beforeAutospacing="0" w:after="280" w:afterAutospacing="1"/>
        <w:jc w:val="center"/>
      </w:pPr>
      <w:bookmarkStart w:id="11" w:name="chuong_pl_name"/>
      <w:r>
        <w:rPr>
          <w:rtl w:val="0"/>
        </w:rPr>
        <w:t>DANH MỤC NGÀNH, NGHỀ ĐẦU TƯ KINH DOANH CÓ ĐIỀU KIỆN</w:t>
      </w:r>
      <w:bookmarkEnd w:id="11"/>
      <w:r>
        <w:rPr>
          <w:rtl w:val="0"/>
        </w:rPr>
        <w:br/>
      </w:r>
      <w:r>
        <w:rPr>
          <w:i/>
          <w:iCs/>
          <w:rtl w:val="0"/>
        </w:rPr>
        <w:t>(Kèm theo Nghị quyết số 66.17/2026/NQ-CP Ngày 15 tháng 5 năm 2026 của Chính phủ)</w:t>
      </w:r>
    </w:p>
    <w:tbl>
      <w:tblPr>
        <w:tblW w:w="5000" w:type="pct"/>
        <w:jc w:val="left"/>
        <w:tblCellMar>
          <w:top w:w="0" w:type="dxa"/>
          <w:left w:w="0" w:type="dxa"/>
          <w:bottom w:w="0" w:type="dxa"/>
          <w:right w:w="0" w:type="dxa"/>
        </w:tblCellMar>
      </w:tblPr>
      <w:tblGrid>
        <w:gridCol w:w="800"/>
        <w:gridCol w:w="7840"/>
      </w:tblGrid>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Ngành, nghề</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xuất con dấu</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công cụ hỗ trợ (bao gồm cả sửa chữa)</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các loại pháo, trừ pháo nổ</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thiết bị, phần mềm ngụy trang dùng để ghi âm, ghi hình, định vị, thiết bị gây nhiễu, phá sóng thông tin di động</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quân trang, quân dụng cho lực lượng vũ trang, vũ khí quân dụng, trang thiết bị, kỹ thuật, khí tài, phương tiện chuyên dùng quân sự, công an; linh kiện, bộ phận, phụ tùng, vật tư và trang thiết bị đặc chủng, công nghệ chuyên dùng chế tạo chúng</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cầm đồ</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xoa bóp</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bảo vệ</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Hành nghề luật sư</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Hành nghề công chứng</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Hành nghề giám định tư pháp</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kiểm toán</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kho ngoại quan, địa điểm thu gom hàng lẻ</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địa điểm làm thủ tục hải quan, tập kết, kiểm tra, giám sát hải quan</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chứng khoán</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đăng ký, lưu ký, bù trừ và thanh toán chứng khoán; dịch vụ hỗ trợ giao dịch trên sàn giao dịch các-bon trong nước</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kinh doanh bảo hiểm (không bao gồm dịch vụ phụ trợ bảo hiểm)</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18</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thẩm định giá</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19</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xổ số</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20</w:t>
            </w:r>
          </w:p>
        </w:tc>
        <w:tc>
          <w:tcPr>
            <w:tcW w:w="453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trò chơi có thưởng (bao gồm trò chơi điện tử có thưởng dành cho người nước ngoài, casino và đặt cược)</w:t>
            </w:r>
          </w:p>
        </w:tc>
      </w:tr>
      <w:tr>
        <w:tblPrEx>
          <w:tblW w:w="5000" w:type="pct"/>
          <w:jc w:val="left"/>
          <w:tblCellMar>
            <w:top w:w="0" w:type="dxa"/>
            <w:left w:w="0" w:type="dxa"/>
            <w:bottom w:w="0" w:type="dxa"/>
            <w:right w:w="0" w:type="dxa"/>
          </w:tblCellMar>
        </w:tblPrEx>
        <w:trPr>
          <w:jc w:val="left"/>
        </w:trPr>
        <w:tc>
          <w:tcPr>
            <w:tcW w:w="46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21</w:t>
            </w:r>
          </w:p>
        </w:tc>
        <w:tc>
          <w:tcPr>
            <w:tcW w:w="4537"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xếp hạng tín nhiệm</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quản lý quỹ hưu trí tự nguyện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xăng dầu</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vật liệu nổ công nghiệp (bao gồm cả hoạt động tiêu hủy)</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tiền chất thuốc nổ</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ngành, nghề có sử dụng vật liệu nổ công nghiệp và tiền chất thuốc nổ</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nổ mìn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xuất, kinh doanh hóa chất, trừ hóa chất thuộc danh mục hóa chất, khoáng vật cấm quy định tại Phụ lục II ban hành kèm theo Luật Đầu tư số 143/2025/QH15; dịch vụ tồn trữ hóa chất; hoạt động tư vấn chuyên ngành hóa chất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sản phẩm thuốc lá, nguyên liệu thuốc lá, máy móc, thiết bị thuộc chuyên ngành thuốc lá, trừ thuốc lá điện tử, thuốc lá nung nóng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thực phẩm thuộc lĩnh vực quản lý chuyên ngành của Bộ Công Thương, Bộ Nông nghiệp và Môi trường và Bộ Y tế</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Sở Giao dịch hàng hóa</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phát điện, truyền tải điện, phân phối điện, bán buôn điện, bán lẻ điện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Xuất khẩu gạo</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tiền chất công nghiệp</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mua bán hàng hóa và các hoạt động liên quan trực tiếp đến hoạt động mua bán hàng hóa của nhà cung cấp dịch vụ nước ngoài tại Việt Nam</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theo phương thức bán hàng đa cấp</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thương mại điện tử: quản lý và vận hành nền tảng thương mại điện tử trung gian, mạng xã hội hoạt động thương mại điện tử, nền tảng thương mại điện tử tích hợp; chứng thực hợp đồng điện tử trong thương mại</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dầu khí</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giáo dục nghề nghiệp</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đánh giá kỹ năng nghề</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kiểm định kỹ thuật an toàn lao động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đưa người lao động đi làm việc ở nước ngoài</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cai nghiện ma túy tự nguyện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vận tải đường bộ</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xuất, lắp ráp, nhập khẩu xe ô tô</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ki</w:t>
            </w:r>
            <w:r>
              <w:rPr>
                <w:rtl w:val="0"/>
              </w:rPr>
              <w:t>ể</w:t>
            </w:r>
            <w:r>
              <w:rPr>
                <w:rtl w:val="0"/>
              </w:rPr>
              <w:t>m định xe cơ giới</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đào tạo lái xe ô tô</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sát hạch lái xe</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th</w:t>
            </w:r>
            <w:r>
              <w:rPr>
                <w:rtl w:val="0"/>
              </w:rPr>
              <w:t>ẩ</w:t>
            </w:r>
            <w:r>
              <w:rPr>
                <w:rtl w:val="0"/>
              </w:rPr>
              <w:t>m tra an toàn giao thông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đào tạo thuyền viên và người lái phương tiện thủy nội địa</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Đào tạo, huấn luyện thuyền viên hàng hải và tổ chức tuyển dụng, cung ứng thuyền viên hàng hải</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vận tải hàng không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thiết kế, sản xuất, bảo dưỡng, thử nghiệm tàu bay, động cơ tàu bay, cánh quạt tàu bay và trang thiết bị tàu bay tại Việt Nam</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Nhập khẩu, tạm nhập tái xuất, tạm xuất tái nhập tàu bay không người lái, phương tiện bay khác, động cơ tàu bay, cánh quạt tàu bay và trang bị, thiết bị của tàu bay không người lái, phương tiện bay khác</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Nghiên cứu chế tạo, thử nghiệm, sửa chữa, bảo dưỡng tàu bay không người lái, phương tiện bay khác, động cơ tàu bay, cánh quạt tàu bay và trang bị, thiết bị của tàu bay không người lái, phương tiện bay khác</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cảng hàng không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hàng không tại cảng hàng không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đào tạo, huấn luyện nghiệp vụ nhân viên hàng không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vận tải đường sắt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kết cấu hạ tầng đường sắt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vận chuyển hàng nguy hiểm</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bất động sản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Hành nghề quản lý dự án đầu tư xây dựng và chỉ huy trưởng công trường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Hành nghề khảo sát xây dựng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Hành nghề thiết kế, thẩm tra thiết kế xây dựng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Hành nghề tư vấn giám sát thi công xây dựng công trình</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thí nghiệm chuyên ngành xây dựng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Hành nghề tư vấn lập quy hoạch đô thị và nông thôn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bưu chính</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viễn thông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tin cậy</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của nhà xuất bản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in, trừ in bao bì không chứa nhãn hàng hóa.</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mạng xã hội</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trò chơi trên mạng viễn thông, mạng Internet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phát thanh, truyền hình trả tiền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thiết lập trang thông tin điện tử tổng hợp</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Dịch vụ gia công, sửa chữa hàng hóa thuộc Danh mục sản phẩm công nghệ thông tin đã qua sử dụng cấm nhập khẩu cho thương nhân nước ngoài để tiêu thụ ở nước ngoài</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xác thực điện tử</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sản phẩm, dịch vụ an ninh mạng (không bao gồm kinh doanh sản phẩm, dịch vụ mật mã dân sự)</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phát hành báo chí nhập khẩu</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sản phẩm, dịch vụ mật mã dân sự</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giáo dục mầm non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giáo dục phổ thông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giáo dục đại học</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của cơ sở giáo dục nước ngoài và phân hiệu cơ sở giáo dục nước ngoài</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giáo dục thường xuyên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Khai thác thủy sản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thủy sản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xuất thức ăn thủy sản, sản phẩm xử lý môi trường nuôi trồng thủy sản; sản xuất thức ăn chăn nuôi, sản phẩm xử lý chất thải chăn nuôi</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Đăng kiểm tàu cá</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thuốc bảo vệ thực vật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xử lý vật thể thuộc diện kiểm dịch thực vật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khảo nghiệm thuốc bảo vệ thực vật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thuốc thú y, vắc xin, chế phẩm sinh học, vi sinh vật, hóa chất dùng trong thú y</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xét nghiệm, phẫu thuật động vật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tiêm phòng, chẩn đoán bệnh, kê đơn, chữa bệnh, chăm sóc sức khỏe động vật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kiểm nghiệm, khảo nghiệm thuốc thú y (bao gồm thuốc thú y, thuốc thú y thủy sản, vắc xin, chế phẩm sinh học, vi sinh vật, hóa chất dùng trong thú y, thú y thủy sản)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chăn nuôi trang trại</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giết mổ gia súc, gia cầm</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xuất phân bón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khảo nghiệm phân bón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giống vật nuôi, sản xuất giống cây trồng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xuất, ương dưỡng giống thủy sản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sản phẩm biến đổi gen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khám bệnh, chữa bệnh</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dược</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xuất mỹ phẩm</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thiết bị y tế</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tiến hành công việc bức xạ</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hỗ trợ ứng dụng năng lượng nguyên tử</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đánh giá sự phù hợp</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đánh giá, thẩm định giá và giám định công nghệ</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đại diện quyền sở hữu trí tuệ (bao gồm dịch vụ đại diện quyền tác giả, quyền liên quan, dịch vụ đại diện sở hữu công nghiệp và dịch vụ đại diện quyền đối với giống cây trồng)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phổ biến phim</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giám định di vật, cổ vật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lập quy hoạch, dự án, thiết kế, tổ chức thi công, tư vấn giám sát thi công dự án bảo quản, tu bổ và phục hồi di tích</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ka-ra-ô-kê (karaoke), vũ trường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lữ hành</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hoạt động thể thao của doanh nghiệp thể thao, câu lạc bộ thể thao chuyên nghiệp</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lưu trú</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di vật, cổ vật, trừ kinh doanh xuất khẩu di vật, cổ vật; kinh doanh dịch vụ bảo quản, phục chế, số hóa, xây dựng cơ sở dữ liệu di vật, cổ vật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Nhập khẩu hàng hóa văn hóa thuộc diện quản lý chuyên ngành của Bộ Văn hóa, Thể thao và Du lịch</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đo đạc và bản đồ</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dự báo, cảnh báo khí tượng thủy văn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khoan nước dưới đất, thăm dò nước dưới đất</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khai thác tài nguyên nước</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thăm dò khoáng sản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Khai thác khoáng sản</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vận chuyển, xử lý chất thải nguy hại</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Nhập khẩu phế liệu</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quan trắc môi trường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133</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kinh doanh của ngân hàng thương mại</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134</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kinh doanh của tổ chức tín dụng phi ngân hàng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135</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kinh doanh của ngân hàng hợp tác xã, quỹ tín dụng nhân dân, tổ chức tài chính vi mô</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136</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Cung ứng dịch vụ trung gian thanh toán, cung ứng dịch vụ thanh toán không qua tài khoản thanh toán của khách hàng; cung ứng dịch vụ tiền di động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137</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Cung ứng dịch vụ thông tin tín dụng</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138</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vàng, trừ vàng trang sức, mỹ nghệ</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139</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sản phẩm, dịch vụ trung gian, phân tích, tổng hợp dữ liệu</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140</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Kinh doanh dịch vụ sàn dữ liệu</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141</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Hoạt động cung cấp dịch vụ liên quan đến tài sản mã hóa</w:t>
            </w:r>
          </w:p>
        </w:tc>
      </w:tr>
      <w:tr>
        <w:tblPrEx>
          <w:tblW w:w="5000" w:type="pct"/>
          <w:jc w:val="left"/>
          <w:tblCellMar>
            <w:top w:w="0" w:type="dxa"/>
            <w:left w:w="0" w:type="dxa"/>
            <w:bottom w:w="0" w:type="dxa"/>
            <w:right w:w="0" w:type="dxa"/>
          </w:tblCellMar>
        </w:tblPrEx>
        <w:trPr>
          <w:jc w:val="left"/>
        </w:trPr>
        <w:tc>
          <w:tcPr>
            <w:tcW w:w="46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142</w:t>
            </w:r>
          </w:p>
        </w:tc>
        <w:tc>
          <w:tcPr>
            <w:tcW w:w="453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Dịch vụ xử lý dữ liệu cá nhân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