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0" w:type="dxa"/>
        <w:jc w:val="left"/>
        <w:tblCellMar>
          <w:top w:w="0" w:type="dxa"/>
          <w:left w:w="0" w:type="dxa"/>
          <w:bottom w:w="0" w:type="dxa"/>
          <w:right w:w="0" w:type="dxa"/>
        </w:tblCellMar>
      </w:tblPr>
      <w:tblGrid>
        <w:gridCol w:w="3348"/>
        <w:gridCol w:w="5292"/>
      </w:tblGrid>
      <w:tr>
        <w:tblPrEx>
          <w:tblW w:w="0" w:type="dxa"/>
          <w:jc w:val="left"/>
          <w:tblCellMar>
            <w:top w:w="0" w:type="dxa"/>
            <w:left w:w="0" w:type="dxa"/>
            <w:bottom w:w="0" w:type="dxa"/>
            <w:right w:w="0" w:type="dxa"/>
          </w:tblCellMar>
        </w:tblPrEx>
        <w:trPr>
          <w:jc w:val="left"/>
        </w:trPr>
        <w:tc>
          <w:tcPr>
            <w:tcW w:w="3348" w:type="dxa"/>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THỦ TƯỚNG CHÍNH PHỦ</w:t>
            </w:r>
            <w:r>
              <w:rPr>
                <w:b/>
                <w:bCs/>
                <w:rtl w:val="0"/>
              </w:rPr>
              <w:br/>
            </w:r>
            <w:r>
              <w:rPr>
                <w:b/>
                <w:bCs/>
                <w:rtl w:val="0"/>
              </w:rPr>
              <w:t>-------</w:t>
            </w:r>
          </w:p>
        </w:tc>
        <w:tc>
          <w:tcPr>
            <w:tcW w:w="5292" w:type="dxa"/>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lang w:val="vi-VN" w:eastAsia="vi-VN"/>
              </w:rPr>
              <w:t>CỘNG HÒA XÃ HỘI CHỦ NGHĨA VIỆT NAM</w:t>
            </w:r>
            <w:r>
              <w:rPr>
                <w:b/>
                <w:bCs/>
                <w:rtl w:val="0"/>
                <w:lang w:val="vi-VN" w:eastAsia="vi-VN"/>
              </w:rPr>
              <w:br/>
            </w:r>
            <w:r>
              <w:rPr>
                <w:b/>
                <w:bCs/>
                <w:rtl w:val="0"/>
                <w:lang w:val="vi-VN" w:eastAsia="vi-VN"/>
              </w:rPr>
              <w:t>Độc lập - Tự do - Hạnh phúc</w:t>
            </w:r>
            <w:r>
              <w:rPr>
                <w:b/>
                <w:bCs/>
                <w:rtl w:val="0"/>
                <w:lang w:val="vi-VN" w:eastAsia="vi-VN"/>
              </w:rPr>
              <w:br/>
            </w:r>
            <w:r>
              <w:rPr>
                <w:b/>
                <w:bCs/>
                <w:rtl w:val="0"/>
                <w:lang w:val="vi-VN" w:eastAsia="vi-VN"/>
              </w:rPr>
              <w:t>---------------</w:t>
            </w:r>
          </w:p>
        </w:tc>
      </w:tr>
      <w:tr>
        <w:tblPrEx>
          <w:tblW w:w="0" w:type="dxa"/>
          <w:jc w:val="left"/>
          <w:tblCellMar>
            <w:top w:w="0" w:type="dxa"/>
            <w:left w:w="0" w:type="dxa"/>
            <w:bottom w:w="0" w:type="dxa"/>
            <w:right w:w="0" w:type="dxa"/>
          </w:tblCellMar>
        </w:tblPrEx>
        <w:trPr>
          <w:jc w:val="left"/>
        </w:trPr>
        <w:tc>
          <w:tcPr>
            <w:tcW w:w="3348" w:type="dxa"/>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lang w:val="vi-VN" w:eastAsia="vi-VN"/>
              </w:rPr>
              <w:t>Số: 59/2015/QĐ-TTg</w:t>
            </w:r>
          </w:p>
        </w:tc>
        <w:tc>
          <w:tcPr>
            <w:tcW w:w="5292" w:type="dxa"/>
            <w:shd w:val="clear" w:color="auto" w:fill="auto"/>
            <w:tcMar>
              <w:top w:w="0" w:type="dxa"/>
              <w:left w:w="0" w:type="dxa"/>
              <w:bottom w:w="0" w:type="dxa"/>
              <w:right w:w="0" w:type="dxa"/>
            </w:tcMar>
          </w:tcPr>
          <w:p>
            <w:pPr>
              <w:bidi w:val="0"/>
              <w:spacing w:before="120" w:beforeAutospacing="0" w:after="0" w:afterAutospacing="0"/>
              <w:jc w:val="right"/>
              <w:rPr>
                <w:rtl w:val="0"/>
              </w:rPr>
            </w:pPr>
            <w:r>
              <w:rPr>
                <w:i/>
                <w:iCs/>
                <w:rtl w:val="0"/>
              </w:rPr>
              <w:t>Hà Nội</w:t>
            </w:r>
            <w:r>
              <w:rPr>
                <w:i/>
                <w:iCs/>
                <w:rtl w:val="0"/>
                <w:lang w:val="vi-VN" w:eastAsia="vi-VN"/>
              </w:rPr>
              <w:t xml:space="preserve">, ngày </w:t>
            </w:r>
            <w:r>
              <w:rPr>
                <w:i/>
                <w:iCs/>
                <w:rtl w:val="0"/>
              </w:rPr>
              <w:t>19</w:t>
            </w:r>
            <w:r>
              <w:rPr>
                <w:i/>
                <w:iCs/>
                <w:rtl w:val="0"/>
                <w:lang w:val="vi-VN" w:eastAsia="vi-VN"/>
              </w:rPr>
              <w:t xml:space="preserve"> tháng </w:t>
            </w:r>
            <w:r>
              <w:rPr>
                <w:i/>
                <w:iCs/>
                <w:rtl w:val="0"/>
              </w:rPr>
              <w:t>11</w:t>
            </w:r>
            <w:r>
              <w:rPr>
                <w:i/>
                <w:iCs/>
                <w:rtl w:val="0"/>
                <w:lang w:val="vi-VN" w:eastAsia="vi-VN"/>
              </w:rPr>
              <w:t xml:space="preserve"> năm </w:t>
            </w:r>
            <w:r>
              <w:rPr>
                <w:i/>
                <w:iCs/>
                <w:rtl w:val="0"/>
              </w:rPr>
              <w:t>2015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lang w:val="vi-VN" w:eastAsia="vi-VN"/>
        </w:rPr>
        <w:t>QUYẾT ĐỊNH</w:t>
      </w:r>
      <w:bookmarkEnd w:id="0"/>
    </w:p>
    <w:p>
      <w:pPr>
        <w:bidi w:val="0"/>
        <w:spacing w:before="120" w:beforeAutospacing="0" w:after="280" w:afterAutospacing="1"/>
        <w:jc w:val="center"/>
      </w:pPr>
      <w:bookmarkStart w:id="1" w:name="loai_1_name"/>
      <w:r>
        <w:rPr>
          <w:rtl w:val="0"/>
          <w:lang w:val="vi-VN" w:eastAsia="vi-VN"/>
        </w:rPr>
        <w:t>VỀ VIỆC BAN HÀNH CHUẨN NGHÈO TIẾP CẬN ĐA CHIỀU ÁP DỤNG CHO GIAI ĐOẠN 2016 - 2020</w:t>
      </w:r>
      <w:bookmarkEnd w:id="1"/>
    </w:p>
    <w:p>
      <w:pPr>
        <w:bidi w:val="0"/>
        <w:spacing w:before="120" w:beforeAutospacing="0" w:after="280" w:afterAutospacing="1"/>
      </w:pPr>
      <w:r>
        <w:rPr>
          <w:i/>
          <w:iCs/>
          <w:rtl w:val="0"/>
          <w:lang w:val="vi-VN" w:eastAsia="vi-VN"/>
        </w:rPr>
        <w:t>Căn cứ Luật Tổ chức Chính phủ ngày 25 tháng 12 năm 2001;</w:t>
      </w:r>
    </w:p>
    <w:p>
      <w:pPr>
        <w:bidi w:val="0"/>
        <w:spacing w:before="120" w:beforeAutospacing="0" w:after="280" w:afterAutospacing="1"/>
      </w:pPr>
      <w:r>
        <w:rPr>
          <w:i/>
          <w:iCs/>
          <w:rtl w:val="0"/>
          <w:lang w:val="vi-VN" w:eastAsia="vi-VN"/>
        </w:rPr>
        <w:t>Căn cứ Nghị quy</w:t>
      </w:r>
      <w:r>
        <w:rPr>
          <w:i/>
          <w:iCs/>
          <w:rtl w:val="0"/>
        </w:rPr>
        <w:t>ế</w:t>
      </w:r>
      <w:r>
        <w:rPr>
          <w:i/>
          <w:iCs/>
          <w:rtl w:val="0"/>
          <w:lang w:val="vi-VN" w:eastAsia="vi-VN"/>
        </w:rPr>
        <w:t>t s</w:t>
      </w:r>
      <w:r>
        <w:rPr>
          <w:i/>
          <w:iCs/>
          <w:rtl w:val="0"/>
        </w:rPr>
        <w:t>ố</w:t>
      </w:r>
      <w:r>
        <w:rPr>
          <w:i/>
          <w:iCs/>
          <w:rtl w:val="0"/>
          <w:lang w:val="vi-VN" w:eastAsia="vi-VN"/>
        </w:rPr>
        <w:t xml:space="preserve"> 76/20</w:t>
      </w:r>
      <w:r>
        <w:rPr>
          <w:i/>
          <w:iCs/>
          <w:rtl w:val="0"/>
        </w:rPr>
        <w:t>1</w:t>
      </w:r>
      <w:r>
        <w:rPr>
          <w:i/>
          <w:iCs/>
          <w:rtl w:val="0"/>
          <w:lang w:val="vi-VN" w:eastAsia="vi-VN"/>
        </w:rPr>
        <w:t>4/QH</w:t>
      </w:r>
      <w:r>
        <w:rPr>
          <w:i/>
          <w:iCs/>
          <w:rtl w:val="0"/>
        </w:rPr>
        <w:t>1</w:t>
      </w:r>
      <w:r>
        <w:rPr>
          <w:i/>
          <w:iCs/>
          <w:rtl w:val="0"/>
          <w:lang w:val="vi-VN" w:eastAsia="vi-VN"/>
        </w:rPr>
        <w:t>3 ngày 24 tháng 6 năm 2014 của Quốc hội về đẩy mạnh thực hiện mục tiêu giảm nghèo b</w:t>
      </w:r>
      <w:r>
        <w:rPr>
          <w:i/>
          <w:iCs/>
          <w:rtl w:val="0"/>
        </w:rPr>
        <w:t>ề</w:t>
      </w:r>
      <w:r>
        <w:rPr>
          <w:i/>
          <w:iCs/>
          <w:rtl w:val="0"/>
          <w:lang w:val="vi-VN" w:eastAsia="vi-VN"/>
        </w:rPr>
        <w:t>n vững đến năm 2020;</w:t>
      </w:r>
    </w:p>
    <w:p>
      <w:pPr>
        <w:bidi w:val="0"/>
        <w:spacing w:before="120" w:beforeAutospacing="0" w:after="280" w:afterAutospacing="1"/>
      </w:pPr>
      <w:r>
        <w:rPr>
          <w:i/>
          <w:iCs/>
          <w:rtl w:val="0"/>
          <w:lang w:val="vi-VN" w:eastAsia="vi-VN"/>
        </w:rPr>
        <w:t>Thực hiện nhiệm vụ Ch</w:t>
      </w:r>
      <w:r>
        <w:rPr>
          <w:i/>
          <w:iCs/>
          <w:rtl w:val="0"/>
        </w:rPr>
        <w:t>í</w:t>
      </w:r>
      <w:r>
        <w:rPr>
          <w:i/>
          <w:iCs/>
          <w:rtl w:val="0"/>
          <w:lang w:val="vi-VN" w:eastAsia="vi-VN"/>
        </w:rPr>
        <w:t>nh phủ giao tại Nghị q</w:t>
      </w:r>
      <w:r>
        <w:rPr>
          <w:i/>
          <w:iCs/>
          <w:rtl w:val="0"/>
        </w:rPr>
        <w:t>uy</w:t>
      </w:r>
      <w:r>
        <w:rPr>
          <w:i/>
          <w:iCs/>
          <w:rtl w:val="0"/>
          <w:lang w:val="vi-VN" w:eastAsia="vi-VN"/>
        </w:rPr>
        <w:t>ết s</w:t>
      </w:r>
      <w:r>
        <w:rPr>
          <w:i/>
          <w:iCs/>
          <w:rtl w:val="0"/>
        </w:rPr>
        <w:t xml:space="preserve">ố </w:t>
      </w:r>
      <w:r>
        <w:rPr>
          <w:i/>
          <w:iCs/>
          <w:rtl w:val="0"/>
          <w:lang w:val="vi-VN" w:eastAsia="vi-VN"/>
        </w:rPr>
        <w:t>79/NQ-CP ngày 04 tháng 11 năm 2015 Phiên họp Chính phủ th</w:t>
      </w:r>
      <w:r>
        <w:rPr>
          <w:i/>
          <w:iCs/>
          <w:rtl w:val="0"/>
        </w:rPr>
        <w:t>ườn</w:t>
      </w:r>
      <w:r>
        <w:rPr>
          <w:i/>
          <w:iCs/>
          <w:rtl w:val="0"/>
          <w:lang w:val="vi-VN" w:eastAsia="vi-VN"/>
        </w:rPr>
        <w:t>g kỳ th</w:t>
      </w:r>
      <w:r>
        <w:rPr>
          <w:i/>
          <w:iCs/>
          <w:rtl w:val="0"/>
        </w:rPr>
        <w:t>á</w:t>
      </w:r>
      <w:r>
        <w:rPr>
          <w:i/>
          <w:iCs/>
          <w:rtl w:val="0"/>
          <w:lang w:val="vi-VN" w:eastAsia="vi-VN"/>
        </w:rPr>
        <w:t>ng 10 năm 2015;</w:t>
      </w:r>
    </w:p>
    <w:p>
      <w:pPr>
        <w:bidi w:val="0"/>
        <w:spacing w:before="120" w:beforeAutospacing="0" w:after="280" w:afterAutospacing="1"/>
      </w:pPr>
      <w:r>
        <w:rPr>
          <w:i/>
          <w:iCs/>
          <w:rtl w:val="0"/>
          <w:lang w:val="vi-VN" w:eastAsia="vi-VN"/>
        </w:rPr>
        <w:t>Theo đề nghị của Bộ trưởng Bộ Lao động - Thương binh và Xã hội,</w:t>
      </w:r>
    </w:p>
    <w:p>
      <w:pPr>
        <w:bidi w:val="0"/>
        <w:spacing w:before="120" w:beforeAutospacing="0" w:after="280" w:afterAutospacing="1"/>
      </w:pPr>
      <w:r>
        <w:rPr>
          <w:i/>
          <w:iCs/>
          <w:rtl w:val="0"/>
          <w:lang w:val="vi-VN" w:eastAsia="vi-VN"/>
        </w:rPr>
        <w:t>Th</w:t>
      </w:r>
      <w:r>
        <w:rPr>
          <w:i/>
          <w:iCs/>
          <w:rtl w:val="0"/>
        </w:rPr>
        <w:t xml:space="preserve">ủ </w:t>
      </w:r>
      <w:r>
        <w:rPr>
          <w:i/>
          <w:iCs/>
          <w:rtl w:val="0"/>
          <w:lang w:val="vi-VN" w:eastAsia="vi-VN"/>
        </w:rPr>
        <w:t xml:space="preserve">tướng Chính phủ ban hành chuẩn nghèo tiếp cận đa chiều </w:t>
      </w:r>
      <w:r>
        <w:rPr>
          <w:i/>
          <w:iCs/>
          <w:rtl w:val="0"/>
        </w:rPr>
        <w:t>á</w:t>
      </w:r>
      <w:r>
        <w:rPr>
          <w:i/>
          <w:iCs/>
          <w:rtl w:val="0"/>
          <w:lang w:val="vi-VN" w:eastAsia="vi-VN"/>
        </w:rPr>
        <w:t>p dụng cho giai đoạn 2016 - 2020.</w:t>
      </w:r>
    </w:p>
    <w:p>
      <w:pPr>
        <w:bidi w:val="0"/>
        <w:spacing w:before="120" w:beforeAutospacing="0" w:after="280" w:afterAutospacing="1"/>
      </w:pPr>
      <w:bookmarkStart w:id="2" w:name="dieu_1"/>
      <w:r>
        <w:rPr>
          <w:b/>
          <w:bCs/>
          <w:rtl w:val="0"/>
        </w:rPr>
        <w:t>Điều 1. Các tiêu chí tiếp cận đo lường nghèo đa chiều áp dụng cho giai đoạn 2016-2020</w:t>
      </w:r>
      <w:bookmarkEnd w:id="2"/>
    </w:p>
    <w:p>
      <w:pPr>
        <w:bidi w:val="0"/>
        <w:spacing w:before="120" w:beforeAutospacing="0" w:after="280" w:afterAutospacing="1"/>
      </w:pPr>
      <w:r>
        <w:rPr>
          <w:rtl w:val="0"/>
          <w:lang w:val="vi-VN" w:eastAsia="vi-VN"/>
        </w:rPr>
        <w:t>1. Các tiêu chí về thu nhập</w:t>
      </w:r>
    </w:p>
    <w:p>
      <w:pPr>
        <w:bidi w:val="0"/>
        <w:spacing w:before="120" w:beforeAutospacing="0" w:after="280" w:afterAutospacing="1"/>
      </w:pPr>
      <w:r>
        <w:rPr>
          <w:rtl w:val="0"/>
          <w:lang w:val="vi-VN" w:eastAsia="vi-VN"/>
        </w:rPr>
        <w:t>a) Chuẩn nghèo: 700.000 đồng/người/tháng ở khu vực nông thôn và 900.0</w:t>
      </w:r>
      <w:r>
        <w:rPr>
          <w:rtl w:val="0"/>
        </w:rPr>
        <w:t xml:space="preserve">00 </w:t>
      </w:r>
      <w:r>
        <w:rPr>
          <w:rtl w:val="0"/>
          <w:lang w:val="vi-VN" w:eastAsia="vi-VN"/>
        </w:rPr>
        <w:t>đồng/người/tháng ở khu vực thành thị.</w:t>
      </w:r>
    </w:p>
    <w:p>
      <w:pPr>
        <w:bidi w:val="0"/>
        <w:spacing w:before="120" w:beforeAutospacing="0" w:after="280" w:afterAutospacing="1"/>
      </w:pPr>
      <w:r>
        <w:rPr>
          <w:rtl w:val="0"/>
          <w:lang w:val="vi-VN" w:eastAsia="vi-VN"/>
        </w:rPr>
        <w:t>b) Chuẩn cận nghèo: 1.000</w:t>
      </w:r>
      <w:r>
        <w:rPr>
          <w:rtl w:val="0"/>
        </w:rPr>
        <w:t>.</w:t>
      </w:r>
      <w:r>
        <w:rPr>
          <w:rtl w:val="0"/>
          <w:lang w:val="vi-VN" w:eastAsia="vi-VN"/>
        </w:rPr>
        <w:t>000 đồng/người/tháng ở khu vực nông thôn và 1.300.000 đồng/người/tháng ở khu vực thành thị.</w:t>
      </w:r>
    </w:p>
    <w:p>
      <w:pPr>
        <w:bidi w:val="0"/>
        <w:spacing w:before="120" w:beforeAutospacing="0" w:after="280" w:afterAutospacing="1"/>
      </w:pPr>
      <w:r>
        <w:rPr>
          <w:rtl w:val="0"/>
          <w:lang w:val="vi-VN" w:eastAsia="vi-VN"/>
        </w:rPr>
        <w:t>2. Tiêu chí mức độ thiếu hụt tiếp cận dịch vụ xã hội cơ bản</w:t>
      </w:r>
    </w:p>
    <w:p>
      <w:pPr>
        <w:bidi w:val="0"/>
        <w:spacing w:before="120" w:beforeAutospacing="0" w:after="280" w:afterAutospacing="1"/>
      </w:pPr>
      <w:r>
        <w:rPr>
          <w:rtl w:val="0"/>
          <w:lang w:val="vi-VN" w:eastAsia="vi-VN"/>
        </w:rPr>
        <w:t>a) Các dịch vụ xã hội cơ bản (05 dịch vụ): y tế; giáo dục; nhà ở; nước sạch và vệ sinh; thông tin;</w:t>
      </w:r>
    </w:p>
    <w:p>
      <w:pPr>
        <w:bidi w:val="0"/>
        <w:spacing w:before="120" w:beforeAutospacing="0" w:after="280" w:afterAutospacing="1"/>
      </w:pPr>
      <w:r>
        <w:rPr>
          <w:rtl w:val="0"/>
          <w:lang w:val="vi-VN" w:eastAsia="vi-VN"/>
        </w:rPr>
        <w:t xml:space="preserve">b) Các chỉ số đo lường mức độ thiếu hụt các dịch vụ xã hội cơ bản (10 chỉ số): tiếp cận các dịch vụ y tế; bảo hiểm y tế; trình độ giáo dục của người lớn; tình </w:t>
      </w:r>
      <w:r>
        <w:rPr>
          <w:rtl w:val="0"/>
        </w:rPr>
        <w:t>tr</w:t>
      </w:r>
      <w:r>
        <w:rPr>
          <w:rtl w:val="0"/>
          <w:lang w:val="vi-VN" w:eastAsia="vi-VN"/>
        </w:rPr>
        <w:t xml:space="preserve">ạng đi học của trẻ em; chất lượng nhà </w:t>
      </w:r>
      <w:r>
        <w:rPr>
          <w:rtl w:val="0"/>
        </w:rPr>
        <w:t>ở</w:t>
      </w:r>
      <w:r>
        <w:rPr>
          <w:rtl w:val="0"/>
          <w:lang w:val="vi-VN" w:eastAsia="vi-VN"/>
        </w:rPr>
        <w:t>; diện tích nhà ở bình quân đầu người; nguồn nước sinh hoạt; hố xí/nhà tiêu hợp vệ sinh; sử dụng dịch vụ viễn thông; tài sản phục vụ tiếp cận thông tin.</w:t>
      </w:r>
    </w:p>
    <w:p>
      <w:pPr>
        <w:bidi w:val="0"/>
        <w:spacing w:before="120" w:beforeAutospacing="0" w:after="280" w:afterAutospacing="1"/>
      </w:pPr>
      <w:bookmarkStart w:id="3" w:name="dieu_2"/>
      <w:r>
        <w:rPr>
          <w:b/>
          <w:bCs/>
          <w:rtl w:val="0"/>
        </w:rPr>
        <w:t>Điều 2. Chuẩn hộ nghèo, hộ cận nghèo, hộ có mức sống trung bình áp dụng cho giai đoạn 2016-2020</w:t>
      </w:r>
      <w:bookmarkEnd w:id="3"/>
    </w:p>
    <w:p>
      <w:pPr>
        <w:bidi w:val="0"/>
        <w:spacing w:before="120" w:beforeAutospacing="0" w:after="280" w:afterAutospacing="1"/>
      </w:pPr>
      <w:r>
        <w:rPr>
          <w:rtl w:val="0"/>
          <w:lang w:val="vi-VN" w:eastAsia="vi-VN"/>
        </w:rPr>
        <w:t>1. Hộ nghèo</w:t>
      </w:r>
    </w:p>
    <w:p>
      <w:pPr>
        <w:bidi w:val="0"/>
        <w:spacing w:before="120" w:beforeAutospacing="0" w:after="280" w:afterAutospacing="1"/>
      </w:pPr>
      <w:r>
        <w:rPr>
          <w:rtl w:val="0"/>
          <w:lang w:val="vi-VN" w:eastAsia="vi-VN"/>
        </w:rPr>
        <w:t>a) Khu vực nông thôn: là hộ đáp ứng một trong hai tiêu chí sau:</w:t>
      </w:r>
    </w:p>
    <w:p>
      <w:pPr>
        <w:bidi w:val="0"/>
        <w:spacing w:before="120" w:beforeAutospacing="0" w:after="280" w:afterAutospacing="1"/>
      </w:pPr>
      <w:r>
        <w:rPr>
          <w:rtl w:val="0"/>
          <w:lang w:val="vi-VN" w:eastAsia="vi-VN"/>
        </w:rPr>
        <w:t xml:space="preserve">- Có thu nhập bình quân đầu người/tháng từ đủ 700.000 đồng </w:t>
      </w:r>
      <w:r>
        <w:rPr>
          <w:rtl w:val="0"/>
        </w:rPr>
        <w:t>tr</w:t>
      </w:r>
      <w:r>
        <w:rPr>
          <w:rtl w:val="0"/>
          <w:lang w:val="vi-VN" w:eastAsia="vi-VN"/>
        </w:rPr>
        <w:t>ở xuống;</w:t>
      </w:r>
    </w:p>
    <w:p>
      <w:pPr>
        <w:bidi w:val="0"/>
        <w:spacing w:before="120" w:beforeAutospacing="0" w:after="280" w:afterAutospacing="1"/>
      </w:pPr>
      <w:r>
        <w:rPr>
          <w:rtl w:val="0"/>
          <w:lang w:val="vi-VN" w:eastAsia="vi-VN"/>
        </w:rPr>
        <w:t>- Có thu nhập bình quân đầu người/tháng trên 700.000 đồng đến 1.000</w:t>
      </w:r>
      <w:r>
        <w:rPr>
          <w:rtl w:val="0"/>
        </w:rPr>
        <w:t>.</w:t>
      </w:r>
      <w:r>
        <w:rPr>
          <w:rtl w:val="0"/>
          <w:lang w:val="vi-VN" w:eastAsia="vi-VN"/>
        </w:rPr>
        <w:t>000 đồng và thiếu hụt từ 03 chỉ số đo lường mức độ thi</w:t>
      </w:r>
      <w:r>
        <w:rPr>
          <w:rtl w:val="0"/>
        </w:rPr>
        <w:t>ế</w:t>
      </w:r>
      <w:r>
        <w:rPr>
          <w:rtl w:val="0"/>
          <w:lang w:val="vi-VN" w:eastAsia="vi-VN"/>
        </w:rPr>
        <w:t>u hụt ti</w:t>
      </w:r>
      <w:r>
        <w:rPr>
          <w:rtl w:val="0"/>
        </w:rPr>
        <w:t>ế</w:t>
      </w:r>
      <w:r>
        <w:rPr>
          <w:rtl w:val="0"/>
          <w:lang w:val="vi-VN" w:eastAsia="vi-VN"/>
        </w:rPr>
        <w:t>p cận các dịch vụ xã hội cơ bản trở lên.</w:t>
      </w:r>
    </w:p>
    <w:p>
      <w:pPr>
        <w:bidi w:val="0"/>
        <w:spacing w:before="120" w:beforeAutospacing="0" w:after="280" w:afterAutospacing="1"/>
      </w:pPr>
      <w:r>
        <w:rPr>
          <w:rtl w:val="0"/>
          <w:lang w:val="vi-VN" w:eastAsia="vi-VN"/>
        </w:rPr>
        <w:t>b) Khu vực thành thị: là hộ đáp ứng một trong hai tiêu chí sau:</w:t>
      </w:r>
    </w:p>
    <w:p>
      <w:pPr>
        <w:bidi w:val="0"/>
        <w:spacing w:before="120" w:beforeAutospacing="0" w:after="280" w:afterAutospacing="1"/>
      </w:pPr>
      <w:r>
        <w:rPr>
          <w:rtl w:val="0"/>
          <w:lang w:val="vi-VN" w:eastAsia="vi-VN"/>
        </w:rPr>
        <w:t>- Có thu nhập bình quân đầu người/tháng từ đủ 900.000 đồng trở xuống;</w:t>
      </w:r>
    </w:p>
    <w:p>
      <w:pPr>
        <w:bidi w:val="0"/>
        <w:spacing w:before="120" w:beforeAutospacing="0" w:after="280" w:afterAutospacing="1"/>
      </w:pPr>
      <w:r>
        <w:rPr>
          <w:rtl w:val="0"/>
          <w:lang w:val="vi-VN" w:eastAsia="vi-VN"/>
        </w:rPr>
        <w:t>- Có thu nhập bình quân đầu người/tháng trên 900.000 đồng đến 1.300.0</w:t>
      </w:r>
      <w:r>
        <w:rPr>
          <w:rtl w:val="0"/>
        </w:rPr>
        <w:t xml:space="preserve">00 </w:t>
      </w:r>
      <w:r>
        <w:rPr>
          <w:rtl w:val="0"/>
          <w:lang w:val="vi-VN" w:eastAsia="vi-VN"/>
        </w:rPr>
        <w:t>đồng và thiếu hụt từ 03 ch</w:t>
      </w:r>
      <w:r>
        <w:rPr>
          <w:rtl w:val="0"/>
        </w:rPr>
        <w:t xml:space="preserve">ỉ </w:t>
      </w:r>
      <w:r>
        <w:rPr>
          <w:rtl w:val="0"/>
          <w:lang w:val="vi-VN" w:eastAsia="vi-VN"/>
        </w:rPr>
        <w:t>số đo lường mức độ thiếu hụt tiếp cận các dịch vụ xã hội cơ bản trở lên.</w:t>
      </w:r>
    </w:p>
    <w:p>
      <w:pPr>
        <w:bidi w:val="0"/>
        <w:spacing w:before="120" w:beforeAutospacing="0" w:after="280" w:afterAutospacing="1"/>
      </w:pPr>
      <w:r>
        <w:rPr>
          <w:rtl w:val="0"/>
          <w:lang w:val="vi-VN" w:eastAsia="vi-VN"/>
        </w:rPr>
        <w:t>2. Hộ cận nghèo</w:t>
      </w:r>
    </w:p>
    <w:p>
      <w:pPr>
        <w:bidi w:val="0"/>
        <w:spacing w:before="120" w:beforeAutospacing="0" w:after="280" w:afterAutospacing="1"/>
      </w:pPr>
      <w:r>
        <w:rPr>
          <w:rtl w:val="0"/>
          <w:lang w:val="vi-VN" w:eastAsia="vi-VN"/>
        </w:rPr>
        <w:t>a) Khu vực nông thôn: là hộ có thu nhập bình quân đầu người/tháng trên 700.000 đồng đến 1.000.000 đồng và thiếu hụt dưới 03 ch</w:t>
      </w:r>
      <w:r>
        <w:rPr>
          <w:rtl w:val="0"/>
        </w:rPr>
        <w:t>ỉ</w:t>
      </w:r>
      <w:r>
        <w:rPr>
          <w:rtl w:val="0"/>
          <w:lang w:val="vi-VN" w:eastAsia="vi-VN"/>
        </w:rPr>
        <w:t xml:space="preserve"> s</w:t>
      </w:r>
      <w:r>
        <w:rPr>
          <w:rtl w:val="0"/>
        </w:rPr>
        <w:t xml:space="preserve">ố </w:t>
      </w:r>
      <w:r>
        <w:rPr>
          <w:rtl w:val="0"/>
          <w:lang w:val="vi-VN" w:eastAsia="vi-VN"/>
        </w:rPr>
        <w:t>đo lường mức độ thiếu hụt tiếp cận các dịch vụ xã hội cơ bản.</w:t>
      </w:r>
    </w:p>
    <w:p>
      <w:pPr>
        <w:bidi w:val="0"/>
        <w:spacing w:before="120" w:beforeAutospacing="0" w:after="280" w:afterAutospacing="1"/>
      </w:pPr>
      <w:r>
        <w:rPr>
          <w:rtl w:val="0"/>
          <w:lang w:val="vi-VN" w:eastAsia="vi-VN"/>
        </w:rPr>
        <w:t>b) Khu vực thành thị: là hộ có thu nhập bình quân đầu người/tháng trên 900.000 đồng đến 1.300.000 đồng và thiếu hụt dưới 03 chỉ số đo lường mức độ thiếu hụt tiếp cận các dịch vụ xã hội cơ bản.</w:t>
      </w:r>
    </w:p>
    <w:p>
      <w:pPr>
        <w:bidi w:val="0"/>
        <w:spacing w:before="120" w:beforeAutospacing="0" w:after="280" w:afterAutospacing="1"/>
      </w:pPr>
      <w:r>
        <w:rPr>
          <w:rtl w:val="0"/>
          <w:lang w:val="vi-VN" w:eastAsia="vi-VN"/>
        </w:rPr>
        <w:t>3. Hộ có mức sống trung bình</w:t>
      </w:r>
    </w:p>
    <w:p>
      <w:pPr>
        <w:bidi w:val="0"/>
        <w:spacing w:before="120" w:beforeAutospacing="0" w:after="280" w:afterAutospacing="1"/>
      </w:pPr>
      <w:r>
        <w:rPr>
          <w:rtl w:val="0"/>
          <w:lang w:val="vi-VN" w:eastAsia="vi-VN"/>
        </w:rPr>
        <w:t>a) Khu vực nông thôn: là hộ có thu nhập b</w:t>
      </w:r>
      <w:r>
        <w:rPr>
          <w:rtl w:val="0"/>
        </w:rPr>
        <w:t>ì</w:t>
      </w:r>
      <w:r>
        <w:rPr>
          <w:rtl w:val="0"/>
          <w:lang w:val="vi-VN" w:eastAsia="vi-VN"/>
        </w:rPr>
        <w:t>nh quân đầu người/tháng trên 1.000.000 đồng đ</w:t>
      </w:r>
      <w:r>
        <w:rPr>
          <w:rtl w:val="0"/>
        </w:rPr>
        <w:t>ế</w:t>
      </w:r>
      <w:r>
        <w:rPr>
          <w:rtl w:val="0"/>
          <w:lang w:val="vi-VN" w:eastAsia="vi-VN"/>
        </w:rPr>
        <w:t>n 1.500.000 đồng.</w:t>
      </w:r>
    </w:p>
    <w:p>
      <w:pPr>
        <w:bidi w:val="0"/>
        <w:spacing w:before="120" w:beforeAutospacing="0" w:after="280" w:afterAutospacing="1"/>
      </w:pPr>
      <w:r>
        <w:rPr>
          <w:rtl w:val="0"/>
          <w:lang w:val="vi-VN" w:eastAsia="vi-VN"/>
        </w:rPr>
        <w:t>b) Khu vực thành thị: là hộ có thu nhập bình quân đầu người/tháng trên 1.300.000 đồng đến 1.950.000 đồng.</w:t>
      </w:r>
    </w:p>
    <w:p>
      <w:pPr>
        <w:bidi w:val="0"/>
        <w:spacing w:before="120" w:beforeAutospacing="0" w:after="280" w:afterAutospacing="1"/>
      </w:pPr>
      <w:bookmarkStart w:id="4" w:name="dieu_3"/>
      <w:r>
        <w:rPr>
          <w:b/>
          <w:bCs/>
          <w:rtl w:val="0"/>
        </w:rPr>
        <w:t>Điều 3. Tổ chức thực hiện</w:t>
      </w:r>
      <w:bookmarkEnd w:id="4"/>
    </w:p>
    <w:p>
      <w:pPr>
        <w:bidi w:val="0"/>
        <w:spacing w:before="120" w:beforeAutospacing="0" w:after="280" w:afterAutospacing="1"/>
      </w:pPr>
      <w:r>
        <w:rPr>
          <w:rtl w:val="0"/>
          <w:lang w:val="vi-VN" w:eastAsia="vi-VN"/>
        </w:rPr>
        <w:t>1. Mức chuẩn nghèo quy định tại Điều 2 Quyết định này là căn cứ để đo lường và giám sát mức độ thiếu hụt về thu nhập và tiếp cận các dịch vụ xã hội cơ bản của người dân; là cơ sở xác định đ</w:t>
      </w:r>
      <w:r>
        <w:rPr>
          <w:rtl w:val="0"/>
        </w:rPr>
        <w:t>ố</w:t>
      </w:r>
      <w:r>
        <w:rPr>
          <w:rtl w:val="0"/>
          <w:lang w:val="vi-VN" w:eastAsia="vi-VN"/>
        </w:rPr>
        <w:t>i tượng đ</w:t>
      </w:r>
      <w:r>
        <w:rPr>
          <w:rtl w:val="0"/>
        </w:rPr>
        <w:t xml:space="preserve">ể </w:t>
      </w:r>
      <w:r>
        <w:rPr>
          <w:rtl w:val="0"/>
          <w:lang w:val="vi-VN" w:eastAsia="vi-VN"/>
        </w:rPr>
        <w:t>thực hiện các chính sách giảm nghèo và an sinh xã hội; hoạch định các chính sách kinh tế - xã hội khác trong giai đoạn 2016-2020.</w:t>
      </w:r>
    </w:p>
    <w:p>
      <w:pPr>
        <w:bidi w:val="0"/>
        <w:spacing w:before="120" w:beforeAutospacing="0" w:after="280" w:afterAutospacing="1"/>
      </w:pPr>
      <w:r>
        <w:rPr>
          <w:rtl w:val="0"/>
          <w:lang w:val="vi-VN" w:eastAsia="vi-VN"/>
        </w:rPr>
        <w:t>2. Trách nhiệm của các Bộ, ngành</w:t>
      </w:r>
    </w:p>
    <w:p>
      <w:pPr>
        <w:bidi w:val="0"/>
        <w:spacing w:before="120" w:beforeAutospacing="0" w:after="280" w:afterAutospacing="1"/>
      </w:pPr>
      <w:r>
        <w:rPr>
          <w:rtl w:val="0"/>
          <w:lang w:val="vi-VN" w:eastAsia="vi-VN"/>
        </w:rPr>
        <w:t>a) Bộ Lao động - Thương binh và Xã hội</w:t>
      </w:r>
    </w:p>
    <w:p>
      <w:pPr>
        <w:bidi w:val="0"/>
        <w:spacing w:before="120" w:beforeAutospacing="0" w:after="280" w:afterAutospacing="1"/>
      </w:pPr>
      <w:r>
        <w:rPr>
          <w:rtl w:val="0"/>
          <w:lang w:val="vi-VN" w:eastAsia="vi-VN"/>
        </w:rPr>
        <w:t>- Xây dựng kế hoạch, phương pháp, công cụ hướng dẫn các địa phương tổ chức điều tra, xác định các đối tượng thụ hưởng chính sách đ</w:t>
      </w:r>
      <w:r>
        <w:rPr>
          <w:rtl w:val="0"/>
        </w:rPr>
        <w:t>ầ</w:t>
      </w:r>
      <w:r>
        <w:rPr>
          <w:rtl w:val="0"/>
          <w:lang w:val="vi-VN" w:eastAsia="vi-VN"/>
        </w:rPr>
        <w:t>u kỳ, giữa kỳ và cuối kỳ (hai năm/lần);</w:t>
      </w:r>
    </w:p>
    <w:p>
      <w:pPr>
        <w:bidi w:val="0"/>
        <w:spacing w:before="120" w:beforeAutospacing="0" w:after="280" w:afterAutospacing="1"/>
      </w:pPr>
      <w:r>
        <w:rPr>
          <w:rtl w:val="0"/>
          <w:lang w:val="vi-VN" w:eastAsia="vi-VN"/>
        </w:rPr>
        <w:t>- Tổng hợp, báo cáo Quốc hội, Chính phủ tỷ lệ hộ nghèo, hộ cận nghèo ti</w:t>
      </w:r>
      <w:r>
        <w:rPr>
          <w:rtl w:val="0"/>
        </w:rPr>
        <w:t>ế</w:t>
      </w:r>
      <w:r>
        <w:rPr>
          <w:rtl w:val="0"/>
          <w:lang w:val="vi-VN" w:eastAsia="vi-VN"/>
        </w:rPr>
        <w:t>p cận đa chi</w:t>
      </w:r>
      <w:r>
        <w:rPr>
          <w:rtl w:val="0"/>
        </w:rPr>
        <w:t>ề</w:t>
      </w:r>
      <w:r>
        <w:rPr>
          <w:rtl w:val="0"/>
          <w:lang w:val="vi-VN" w:eastAsia="vi-VN"/>
        </w:rPr>
        <w:t>u đầu kỳ, giữa kỳ và cuối k</w:t>
      </w:r>
      <w:r>
        <w:rPr>
          <w:rtl w:val="0"/>
        </w:rPr>
        <w:t xml:space="preserve">ỳ </w:t>
      </w:r>
      <w:r>
        <w:rPr>
          <w:rtl w:val="0"/>
          <w:lang w:val="vi-VN" w:eastAsia="vi-VN"/>
        </w:rPr>
        <w:t>của cả nước và các t</w:t>
      </w:r>
      <w:r>
        <w:rPr>
          <w:rtl w:val="0"/>
        </w:rPr>
        <w:t>ỉ</w:t>
      </w:r>
      <w:r>
        <w:rPr>
          <w:rtl w:val="0"/>
          <w:lang w:val="vi-VN" w:eastAsia="vi-VN"/>
        </w:rPr>
        <w:t>nh, thành phố;</w:t>
      </w:r>
    </w:p>
    <w:p>
      <w:pPr>
        <w:bidi w:val="0"/>
        <w:spacing w:before="120" w:beforeAutospacing="0" w:after="280" w:afterAutospacing="1"/>
      </w:pPr>
      <w:r>
        <w:rPr>
          <w:rtl w:val="0"/>
          <w:lang w:val="vi-VN" w:eastAsia="vi-VN"/>
        </w:rPr>
        <w:t>- Xây dựng cơ sở dữ liệu quản lý đối tượng hộ nghèo, hộ cận nghèo của cả nước trong giai đoạn 2016-2020.</w:t>
      </w:r>
    </w:p>
    <w:p>
      <w:pPr>
        <w:bidi w:val="0"/>
        <w:spacing w:before="120" w:beforeAutospacing="0" w:after="280" w:afterAutospacing="1"/>
      </w:pPr>
      <w:r>
        <w:rPr>
          <w:rtl w:val="0"/>
          <w:lang w:val="vi-VN" w:eastAsia="vi-VN"/>
        </w:rPr>
        <w:t>b) Bộ Kế hoạch và Đầu tư</w:t>
      </w:r>
    </w:p>
    <w:p>
      <w:pPr>
        <w:bidi w:val="0"/>
        <w:spacing w:before="120" w:beforeAutospacing="0" w:after="280" w:afterAutospacing="1"/>
      </w:pPr>
      <w:r>
        <w:rPr>
          <w:rtl w:val="0"/>
          <w:lang w:val="vi-VN" w:eastAsia="vi-VN"/>
        </w:rPr>
        <w:t xml:space="preserve">- Bổ sung hệ thống thu thập số liệu các chiều, chỉ số nghèo đa chiều </w:t>
      </w:r>
      <w:r>
        <w:rPr>
          <w:rtl w:val="0"/>
        </w:rPr>
        <w:t>tr</w:t>
      </w:r>
      <w:r>
        <w:rPr>
          <w:rtl w:val="0"/>
          <w:lang w:val="vi-VN" w:eastAsia="vi-VN"/>
        </w:rPr>
        <w:t>ong khảo sát mức sống hộ gia đình nhằm phục vụ theo dõi và đánh giá tình trạng nghèo đa chiều của quốc gia và các địa phương;</w:t>
      </w:r>
    </w:p>
    <w:p>
      <w:pPr>
        <w:bidi w:val="0"/>
        <w:spacing w:before="120" w:beforeAutospacing="0" w:after="280" w:afterAutospacing="1"/>
      </w:pPr>
      <w:r>
        <w:rPr>
          <w:rtl w:val="0"/>
          <w:lang w:val="vi-VN" w:eastAsia="vi-VN"/>
        </w:rPr>
        <w:t xml:space="preserve">- Trên cơ sở kết quả điều </w:t>
      </w:r>
      <w:r>
        <w:rPr>
          <w:rtl w:val="0"/>
        </w:rPr>
        <w:t>tr</w:t>
      </w:r>
      <w:r>
        <w:rPr>
          <w:rtl w:val="0"/>
          <w:lang w:val="vi-VN" w:eastAsia="vi-VN"/>
        </w:rPr>
        <w:t>a mức sống hộ gia đ</w:t>
      </w:r>
      <w:r>
        <w:rPr>
          <w:rtl w:val="0"/>
        </w:rPr>
        <w:t>ì</w:t>
      </w:r>
      <w:r>
        <w:rPr>
          <w:rtl w:val="0"/>
          <w:lang w:val="vi-VN" w:eastAsia="vi-VN"/>
        </w:rPr>
        <w:t>nh hằng năm, Bộ Kế hoạch và Đầu tư (Tổng cục Thống kê) công bố tỷ lệ nghèo chung (có cập nhật chỉ số giá tiêu dùng - CPI), tỷ lệ hộ thiếu hụt tiếp cận các dịch vụ xã hội cơ bản, ch</w:t>
      </w:r>
      <w:r>
        <w:rPr>
          <w:rtl w:val="0"/>
        </w:rPr>
        <w:t xml:space="preserve">ỉ </w:t>
      </w:r>
      <w:r>
        <w:rPr>
          <w:rtl w:val="0"/>
          <w:lang w:val="vi-VN" w:eastAsia="vi-VN"/>
        </w:rPr>
        <w:t>số nghèo đa chiều (MPI), làm cơ sở để định hướng các chính sách phát triển kinh tế vùng, lĩnh vực, chính sách giảm nghèo và an sinh xã hội;</w:t>
      </w:r>
    </w:p>
    <w:p>
      <w:pPr>
        <w:bidi w:val="0"/>
        <w:spacing w:before="120" w:beforeAutospacing="0" w:after="280" w:afterAutospacing="1"/>
      </w:pPr>
      <w:r>
        <w:rPr>
          <w:rtl w:val="0"/>
          <w:lang w:val="vi-VN" w:eastAsia="vi-VN"/>
        </w:rPr>
        <w:t>- Nghiên cứu bổ sung các chỉ số đo lường nghèo đa chiều vào bộ chỉ tiêu khảo sát mức sống hộ gia đình để phản ánh tốt h</w:t>
      </w:r>
      <w:r>
        <w:rPr>
          <w:rtl w:val="0"/>
        </w:rPr>
        <w:t xml:space="preserve">ơn </w:t>
      </w:r>
      <w:r>
        <w:rPr>
          <w:rtl w:val="0"/>
          <w:lang w:val="vi-VN" w:eastAsia="vi-VN"/>
        </w:rPr>
        <w:t>các khía cạnh nghèo của người dân, nhất là những ch</w:t>
      </w:r>
      <w:r>
        <w:rPr>
          <w:rtl w:val="0"/>
        </w:rPr>
        <w:t xml:space="preserve">ỉ </w:t>
      </w:r>
      <w:r>
        <w:rPr>
          <w:rtl w:val="0"/>
          <w:lang w:val="vi-VN" w:eastAsia="vi-VN"/>
        </w:rPr>
        <w:t>số phản ánh kết quả và tác động.</w:t>
      </w:r>
    </w:p>
    <w:p>
      <w:pPr>
        <w:bidi w:val="0"/>
        <w:spacing w:before="120" w:beforeAutospacing="0" w:after="280" w:afterAutospacing="1"/>
      </w:pPr>
      <w:r>
        <w:rPr>
          <w:rtl w:val="0"/>
          <w:lang w:val="vi-VN" w:eastAsia="vi-VN"/>
        </w:rPr>
        <w:t>c) Bộ Tài chính</w:t>
      </w:r>
    </w:p>
    <w:p>
      <w:pPr>
        <w:bidi w:val="0"/>
        <w:spacing w:before="120" w:beforeAutospacing="0" w:after="280" w:afterAutospacing="1"/>
      </w:pPr>
      <w:r>
        <w:rPr>
          <w:rtl w:val="0"/>
          <w:lang w:val="vi-VN" w:eastAsia="vi-VN"/>
        </w:rPr>
        <w:t>Chủ trì ph</w:t>
      </w:r>
      <w:r>
        <w:rPr>
          <w:rtl w:val="0"/>
        </w:rPr>
        <w:t>ố</w:t>
      </w:r>
      <w:r>
        <w:rPr>
          <w:rtl w:val="0"/>
          <w:lang w:val="vi-VN" w:eastAsia="vi-VN"/>
        </w:rPr>
        <w:t>i hợp với Bộ Lao động - Thương binh và Xã hội cân đối nguồn lực n</w:t>
      </w:r>
      <w:r>
        <w:rPr>
          <w:rtl w:val="0"/>
        </w:rPr>
        <w:t>g</w:t>
      </w:r>
      <w:r>
        <w:rPr>
          <w:rtl w:val="0"/>
          <w:lang w:val="vi-VN" w:eastAsia="vi-VN"/>
        </w:rPr>
        <w:t>ân sách để thực hiện các chính sách giảm nghèo và an sinh xã hội khi chuyển đổi phương pháp tiếp cận đo lường nghèo sang đa chiều.</w:t>
      </w:r>
    </w:p>
    <w:p>
      <w:pPr>
        <w:bidi w:val="0"/>
        <w:spacing w:before="120" w:beforeAutospacing="0" w:after="280" w:afterAutospacing="1"/>
      </w:pPr>
      <w:r>
        <w:rPr>
          <w:rtl w:val="0"/>
          <w:lang w:val="vi-VN" w:eastAsia="vi-VN"/>
        </w:rPr>
        <w:t>d) Bộ Y tế</w:t>
      </w:r>
    </w:p>
    <w:p>
      <w:pPr>
        <w:bidi w:val="0"/>
        <w:spacing w:before="120" w:beforeAutospacing="0" w:after="280" w:afterAutospacing="1"/>
      </w:pPr>
      <w:r>
        <w:rPr>
          <w:rtl w:val="0"/>
          <w:lang w:val="vi-VN" w:eastAsia="vi-VN"/>
        </w:rPr>
        <w:t>- Nghiên cứu, thực hiện giải pháp nâng cao khả năng tiếp cận của người dân về dịch vụ khám chữa bệnh, tăng độ bao phủ tham gia bảo hiểm y tế, nâng cao chất lượng dịch vụ khám chữa bệnh;</w:t>
      </w:r>
    </w:p>
    <w:p>
      <w:pPr>
        <w:bidi w:val="0"/>
        <w:spacing w:before="120" w:beforeAutospacing="0" w:after="280" w:afterAutospacing="1"/>
      </w:pPr>
      <w:r>
        <w:rPr>
          <w:rtl w:val="0"/>
          <w:lang w:val="vi-VN" w:eastAsia="vi-VN"/>
        </w:rPr>
        <w:t>- Phối hợp với Bộ K</w:t>
      </w:r>
      <w:r>
        <w:rPr>
          <w:rtl w:val="0"/>
        </w:rPr>
        <w:t xml:space="preserve">ế </w:t>
      </w:r>
      <w:r>
        <w:rPr>
          <w:rtl w:val="0"/>
          <w:lang w:val="vi-VN" w:eastAsia="vi-VN"/>
        </w:rPr>
        <w:t>hoạch và Đầu tư nghiên cứu bổ sung, cập nhật chỉ số đo lường tiếp cận dịch vụ về y tế.</w:t>
      </w:r>
    </w:p>
    <w:p>
      <w:pPr>
        <w:bidi w:val="0"/>
        <w:spacing w:before="120" w:beforeAutospacing="0" w:after="280" w:afterAutospacing="1"/>
      </w:pPr>
      <w:r>
        <w:rPr>
          <w:rtl w:val="0"/>
          <w:lang w:val="vi-VN" w:eastAsia="vi-VN"/>
        </w:rPr>
        <w:t>đ) Bộ Giáo dục và Đào tạo</w:t>
      </w:r>
    </w:p>
    <w:p>
      <w:pPr>
        <w:bidi w:val="0"/>
        <w:spacing w:before="120" w:beforeAutospacing="0" w:after="280" w:afterAutospacing="1"/>
      </w:pPr>
      <w:r>
        <w:rPr>
          <w:rtl w:val="0"/>
          <w:lang w:val="vi-VN" w:eastAsia="vi-VN"/>
        </w:rPr>
        <w:t xml:space="preserve">- Nghiên cứu, thực hiện giải pháp tăng tỷ lệ </w:t>
      </w:r>
      <w:r>
        <w:rPr>
          <w:rtl w:val="0"/>
        </w:rPr>
        <w:t>tr</w:t>
      </w:r>
      <w:r>
        <w:rPr>
          <w:rtl w:val="0"/>
          <w:lang w:val="vi-VN" w:eastAsia="vi-VN"/>
        </w:rPr>
        <w:t>ẻ em đến trường đúng độ tuổi theo từng c</w:t>
      </w:r>
      <w:r>
        <w:rPr>
          <w:rtl w:val="0"/>
        </w:rPr>
        <w:t>ấ</w:t>
      </w:r>
      <w:r>
        <w:rPr>
          <w:rtl w:val="0"/>
          <w:lang w:val="vi-VN" w:eastAsia="vi-VN"/>
        </w:rPr>
        <w:t>p học, giảm tỷ lệ bỏ học, lưu ban; tăng tỷ lệ bi</w:t>
      </w:r>
      <w:r>
        <w:rPr>
          <w:rtl w:val="0"/>
        </w:rPr>
        <w:t>ế</w:t>
      </w:r>
      <w:r>
        <w:rPr>
          <w:rtl w:val="0"/>
          <w:lang w:val="vi-VN" w:eastAsia="vi-VN"/>
        </w:rPr>
        <w:t>t chữ của người lớn;</w:t>
      </w:r>
    </w:p>
    <w:p>
      <w:pPr>
        <w:bidi w:val="0"/>
        <w:spacing w:before="120" w:beforeAutospacing="0" w:after="280" w:afterAutospacing="1"/>
      </w:pPr>
      <w:r>
        <w:rPr>
          <w:rtl w:val="0"/>
          <w:lang w:val="vi-VN" w:eastAsia="vi-VN"/>
        </w:rPr>
        <w:t>- Phối hợp với Bộ Kế hoạch và Đầu tư nghiên cứu bổ sung, cập nhật chỉ số đo lường ti</w:t>
      </w:r>
      <w:r>
        <w:rPr>
          <w:rtl w:val="0"/>
        </w:rPr>
        <w:t>ế</w:t>
      </w:r>
      <w:r>
        <w:rPr>
          <w:rtl w:val="0"/>
          <w:lang w:val="vi-VN" w:eastAsia="vi-VN"/>
        </w:rPr>
        <w:t>p cận dịch vụ về giá</w:t>
      </w:r>
      <w:r>
        <w:rPr>
          <w:rtl w:val="0"/>
        </w:rPr>
        <w:t xml:space="preserve">o </w:t>
      </w:r>
      <w:r>
        <w:rPr>
          <w:rtl w:val="0"/>
          <w:lang w:val="vi-VN" w:eastAsia="vi-VN"/>
        </w:rPr>
        <w:t>dục.</w:t>
      </w:r>
    </w:p>
    <w:p>
      <w:pPr>
        <w:bidi w:val="0"/>
        <w:spacing w:before="120" w:beforeAutospacing="0" w:after="280" w:afterAutospacing="1"/>
      </w:pPr>
      <w:r>
        <w:rPr>
          <w:rtl w:val="0"/>
          <w:lang w:val="vi-VN" w:eastAsia="vi-VN"/>
        </w:rPr>
        <w:t>e) Bộ Nông nghiệp và Phát triển nông thôn</w:t>
      </w:r>
    </w:p>
    <w:p>
      <w:pPr>
        <w:bidi w:val="0"/>
        <w:spacing w:before="120" w:beforeAutospacing="0" w:after="280" w:afterAutospacing="1"/>
      </w:pPr>
      <w:r>
        <w:rPr>
          <w:rtl w:val="0"/>
          <w:lang w:val="vi-VN" w:eastAsia="vi-VN"/>
        </w:rPr>
        <w:t>- Nghiên cứu, thực hiện giải pháp tăng tỷ lệ người dân sử dụng nước sạch, hố xí hợp vệ sinh khu vực nông thôn;</w:t>
      </w:r>
    </w:p>
    <w:p>
      <w:pPr>
        <w:bidi w:val="0"/>
        <w:spacing w:before="120" w:beforeAutospacing="0" w:after="280" w:afterAutospacing="1"/>
      </w:pPr>
      <w:r>
        <w:rPr>
          <w:rtl w:val="0"/>
          <w:lang w:val="vi-VN" w:eastAsia="vi-VN"/>
        </w:rPr>
        <w:t>- Phối hợp với Bộ Kế hoạch và Đầu tư nghiên cứu bổ sung, cập nhật chỉ số đo lường tiếp cận dịch vụ về vệ sinh, nước sạch nông thôn.</w:t>
      </w:r>
    </w:p>
    <w:p>
      <w:pPr>
        <w:bidi w:val="0"/>
        <w:spacing w:before="120" w:beforeAutospacing="0" w:after="280" w:afterAutospacing="1"/>
      </w:pPr>
      <w:r>
        <w:rPr>
          <w:rtl w:val="0"/>
          <w:lang w:val="vi-VN" w:eastAsia="vi-VN"/>
        </w:rPr>
        <w:t>g) Bộ Xây dựng</w:t>
      </w:r>
    </w:p>
    <w:p>
      <w:pPr>
        <w:bidi w:val="0"/>
        <w:spacing w:before="120" w:beforeAutospacing="0" w:after="280" w:afterAutospacing="1"/>
      </w:pPr>
      <w:r>
        <w:rPr>
          <w:rtl w:val="0"/>
          <w:lang w:val="vi-VN" w:eastAsia="vi-VN"/>
        </w:rPr>
        <w:t xml:space="preserve">- Nghiên cứu, thực hiện giải pháp để hộ nghèo, hộ cận nghèo có nhà </w:t>
      </w:r>
      <w:r>
        <w:rPr>
          <w:rtl w:val="0"/>
        </w:rPr>
        <w:t>ở</w:t>
      </w:r>
      <w:r>
        <w:rPr>
          <w:rtl w:val="0"/>
          <w:lang w:val="vi-VN" w:eastAsia="vi-VN"/>
        </w:rPr>
        <w:t>, tăng tỷ lệ người dân có nhà ở bảo đảm về diện tích và chất lượng;</w:t>
      </w:r>
    </w:p>
    <w:p>
      <w:pPr>
        <w:bidi w:val="0"/>
        <w:spacing w:before="120" w:beforeAutospacing="0" w:after="280" w:afterAutospacing="1"/>
      </w:pPr>
      <w:r>
        <w:rPr>
          <w:rtl w:val="0"/>
          <w:lang w:val="vi-VN" w:eastAsia="vi-VN"/>
        </w:rPr>
        <w:t>- Phối h</w:t>
      </w:r>
      <w:r>
        <w:rPr>
          <w:rtl w:val="0"/>
        </w:rPr>
        <w:t>ợ</w:t>
      </w:r>
      <w:r>
        <w:rPr>
          <w:rtl w:val="0"/>
          <w:lang w:val="vi-VN" w:eastAsia="vi-VN"/>
        </w:rPr>
        <w:t>p với Bộ Kế hoạch và Đầu tư nghiên cứu bổ sung, cập nhật chỉ số đo lường tiếp cận dịch vụ về nhà ở.</w:t>
      </w:r>
    </w:p>
    <w:p>
      <w:pPr>
        <w:bidi w:val="0"/>
        <w:spacing w:before="120" w:beforeAutospacing="0" w:after="280" w:afterAutospacing="1"/>
      </w:pPr>
      <w:r>
        <w:rPr>
          <w:rtl w:val="0"/>
          <w:lang w:val="vi-VN" w:eastAsia="vi-VN"/>
        </w:rPr>
        <w:t>h) Bộ Thông tin và Truyền thông</w:t>
      </w:r>
    </w:p>
    <w:p>
      <w:pPr>
        <w:bidi w:val="0"/>
        <w:spacing w:before="120" w:beforeAutospacing="0" w:after="280" w:afterAutospacing="1"/>
      </w:pPr>
      <w:r>
        <w:rPr>
          <w:rtl w:val="0"/>
          <w:lang w:val="vi-VN" w:eastAsia="vi-VN"/>
        </w:rPr>
        <w:t>- Nghiên cứ</w:t>
      </w:r>
      <w:r>
        <w:rPr>
          <w:rtl w:val="0"/>
        </w:rPr>
        <w:t>u</w:t>
      </w:r>
      <w:r>
        <w:rPr>
          <w:rtl w:val="0"/>
          <w:lang w:val="vi-VN" w:eastAsia="vi-VN"/>
        </w:rPr>
        <w:t>, thực hiện giải pháp tăng cường khả năng tiếp cận thông tin của người dân;</w:t>
      </w:r>
    </w:p>
    <w:p>
      <w:pPr>
        <w:bidi w:val="0"/>
        <w:spacing w:before="120" w:beforeAutospacing="0" w:after="280" w:afterAutospacing="1"/>
      </w:pPr>
      <w:r>
        <w:rPr>
          <w:rtl w:val="0"/>
          <w:lang w:val="vi-VN" w:eastAsia="vi-VN"/>
        </w:rPr>
        <w:t>- Phối hợp với Bộ K</w:t>
      </w:r>
      <w:r>
        <w:rPr>
          <w:rtl w:val="0"/>
        </w:rPr>
        <w:t xml:space="preserve">ế </w:t>
      </w:r>
      <w:r>
        <w:rPr>
          <w:rtl w:val="0"/>
          <w:lang w:val="vi-VN" w:eastAsia="vi-VN"/>
        </w:rPr>
        <w:t>hoạch và Đầu tư nghiên cứu bổ sung, cập nhật chỉ số đo lường tiếp cận về thông tin.</w:t>
      </w:r>
    </w:p>
    <w:p>
      <w:pPr>
        <w:bidi w:val="0"/>
        <w:spacing w:before="120" w:beforeAutospacing="0" w:after="280" w:afterAutospacing="1"/>
      </w:pPr>
      <w:r>
        <w:rPr>
          <w:rtl w:val="0"/>
          <w:lang w:val="vi-VN" w:eastAsia="vi-VN"/>
        </w:rPr>
        <w:t xml:space="preserve">i) </w:t>
      </w:r>
      <w:r>
        <w:rPr>
          <w:rtl w:val="0"/>
        </w:rPr>
        <w:t>Ủ</w:t>
      </w:r>
      <w:r>
        <w:rPr>
          <w:rtl w:val="0"/>
          <w:lang w:val="vi-VN" w:eastAsia="vi-VN"/>
        </w:rPr>
        <w:t>y ban Dân tộc phối hợp với Bộ Lao động - Thương binh và Xã hội và các Bộ liên quan xây dựng giải pháp giảm nghèo bền vững phù hợp với đồng bào dân tộc thiểu số.</w:t>
      </w:r>
    </w:p>
    <w:p>
      <w:pPr>
        <w:bidi w:val="0"/>
        <w:spacing w:before="120" w:beforeAutospacing="0" w:after="280" w:afterAutospacing="1"/>
      </w:pPr>
      <w:r>
        <w:rPr>
          <w:rtl w:val="0"/>
          <w:lang w:val="vi-VN" w:eastAsia="vi-VN"/>
        </w:rPr>
        <w:t>k) Các Bộ, ngành liên quan: trên cơ s</w:t>
      </w:r>
      <w:r>
        <w:rPr>
          <w:rtl w:val="0"/>
        </w:rPr>
        <w:t xml:space="preserve">ở </w:t>
      </w:r>
      <w:r>
        <w:rPr>
          <w:rtl w:val="0"/>
          <w:lang w:val="vi-VN" w:eastAsia="vi-VN"/>
        </w:rPr>
        <w:t>mức độ thiếu hụt tiếp cận các dịch vụ xã hội cơ bản của cả nước và từng địa phương, đề xuất với Chính phủ, Thủ t</w:t>
      </w:r>
      <w:r>
        <w:rPr>
          <w:rtl w:val="0"/>
        </w:rPr>
        <w:t>ướ</w:t>
      </w:r>
      <w:r>
        <w:rPr>
          <w:rtl w:val="0"/>
          <w:lang w:val="vi-VN" w:eastAsia="vi-VN"/>
        </w:rPr>
        <w:t>ng Chính phủ các giải pháp để tác động trong các chương trình, chính sách đặc thù và thường xuyên, nhằm nâng cao khả năng tiếp cận các dịch vụ xã hội cơ bản của người dân, nhất là các vùng có tỷ lệ tiếp cận thấp.</w:t>
      </w:r>
    </w:p>
    <w:p>
      <w:pPr>
        <w:bidi w:val="0"/>
        <w:spacing w:before="120" w:beforeAutospacing="0" w:after="280" w:afterAutospacing="1"/>
      </w:pPr>
      <w:r>
        <w:rPr>
          <w:rtl w:val="0"/>
          <w:lang w:val="vi-VN" w:eastAsia="vi-VN"/>
        </w:rPr>
        <w:t xml:space="preserve">3. </w:t>
      </w:r>
      <w:r>
        <w:rPr>
          <w:rtl w:val="0"/>
        </w:rPr>
        <w:t>Ủ</w:t>
      </w:r>
      <w:r>
        <w:rPr>
          <w:rtl w:val="0"/>
          <w:lang w:val="vi-VN" w:eastAsia="vi-VN"/>
        </w:rPr>
        <w:t>y ban nhân dân các t</w:t>
      </w:r>
      <w:r>
        <w:rPr>
          <w:rtl w:val="0"/>
        </w:rPr>
        <w:t>ỉ</w:t>
      </w:r>
      <w:r>
        <w:rPr>
          <w:rtl w:val="0"/>
          <w:lang w:val="vi-VN" w:eastAsia="vi-VN"/>
        </w:rPr>
        <w:t>nh, thành phố trực thuộc Trung ương</w:t>
      </w:r>
    </w:p>
    <w:p>
      <w:pPr>
        <w:bidi w:val="0"/>
        <w:spacing w:before="120" w:beforeAutospacing="0" w:after="280" w:afterAutospacing="1"/>
      </w:pPr>
      <w:r>
        <w:rPr>
          <w:rtl w:val="0"/>
          <w:lang w:val="vi-VN" w:eastAsia="vi-VN"/>
        </w:rPr>
        <w:t>a) Tuyên truyền nâng cao nhận thức của các cấp, ngành và người dân về mục đích, ý nghĩa việc chuyển đổi phương pháp tiếp cận nghèo từ đ</w:t>
      </w:r>
      <w:r>
        <w:rPr>
          <w:rtl w:val="0"/>
        </w:rPr>
        <w:t xml:space="preserve">ơn </w:t>
      </w:r>
      <w:r>
        <w:rPr>
          <w:rtl w:val="0"/>
          <w:lang w:val="vi-VN" w:eastAsia="vi-VN"/>
        </w:rPr>
        <w:t>chiều sang đa chi</w:t>
      </w:r>
      <w:r>
        <w:rPr>
          <w:rtl w:val="0"/>
        </w:rPr>
        <w:t>ề</w:t>
      </w:r>
      <w:r>
        <w:rPr>
          <w:rtl w:val="0"/>
          <w:lang w:val="vi-VN" w:eastAsia="vi-VN"/>
        </w:rPr>
        <w:t>u;</w:t>
      </w:r>
    </w:p>
    <w:p>
      <w:pPr>
        <w:bidi w:val="0"/>
        <w:spacing w:before="120" w:beforeAutospacing="0" w:after="280" w:afterAutospacing="1"/>
      </w:pPr>
      <w:r>
        <w:rPr>
          <w:rtl w:val="0"/>
          <w:lang w:val="vi-VN" w:eastAsia="vi-VN"/>
        </w:rPr>
        <w:t xml:space="preserve">b) Chỉ đạo điều </w:t>
      </w:r>
      <w:r>
        <w:rPr>
          <w:rtl w:val="0"/>
        </w:rPr>
        <w:t>tr</w:t>
      </w:r>
      <w:r>
        <w:rPr>
          <w:rtl w:val="0"/>
          <w:lang w:val="vi-VN" w:eastAsia="vi-VN"/>
        </w:rPr>
        <w:t>a xác định, phân loại đối tượng thụ hưởng chính sách giảm nghèo hằng năm;</w:t>
      </w:r>
    </w:p>
    <w:p>
      <w:pPr>
        <w:bidi w:val="0"/>
        <w:spacing w:before="120" w:beforeAutospacing="0" w:after="280" w:afterAutospacing="1"/>
      </w:pPr>
      <w:r>
        <w:rPr>
          <w:rtl w:val="0"/>
          <w:lang w:val="vi-VN" w:eastAsia="vi-VN"/>
        </w:rPr>
        <w:t>c) Chỉ đạo xây dựng cơ s</w:t>
      </w:r>
      <w:r>
        <w:rPr>
          <w:rtl w:val="0"/>
        </w:rPr>
        <w:t xml:space="preserve">ở </w:t>
      </w:r>
      <w:r>
        <w:rPr>
          <w:rtl w:val="0"/>
          <w:lang w:val="vi-VN" w:eastAsia="vi-VN"/>
        </w:rPr>
        <w:t>dữ liệu quản lý đối tượng hộ nghèo, hộ cận nghèo giai đoạn 2016-2020 trên địa bàn;</w:t>
      </w:r>
    </w:p>
    <w:p>
      <w:pPr>
        <w:bidi w:val="0"/>
        <w:spacing w:before="120" w:beforeAutospacing="0" w:after="280" w:afterAutospacing="1"/>
      </w:pPr>
      <w:r>
        <w:rPr>
          <w:rtl w:val="0"/>
          <w:lang w:val="vi-VN" w:eastAsia="vi-VN"/>
        </w:rPr>
        <w:t>d) Nghiên cứu, thực hiện giải pháp nâng cao khả năng tiếp cận các dịch vụ xã hội cơ bản của người dân trên địa bàn;</w:t>
      </w:r>
    </w:p>
    <w:p>
      <w:pPr>
        <w:bidi w:val="0"/>
        <w:spacing w:before="120" w:beforeAutospacing="0" w:after="280" w:afterAutospacing="1"/>
      </w:pPr>
      <w:r>
        <w:rPr>
          <w:rtl w:val="0"/>
          <w:lang w:val="vi-VN" w:eastAsia="vi-VN"/>
        </w:rPr>
        <w:t>đ) Căn cứ điều kiện và khả năng thực tế của địa phương, các tỉnh, thành phố trực thuộc Trung ương có thể bổ sung các chiều/ch</w:t>
      </w:r>
      <w:r>
        <w:rPr>
          <w:rtl w:val="0"/>
        </w:rPr>
        <w:t xml:space="preserve">ỉ </w:t>
      </w:r>
      <w:r>
        <w:rPr>
          <w:rtl w:val="0"/>
          <w:lang w:val="vi-VN" w:eastAsia="vi-VN"/>
        </w:rPr>
        <w:t>số thiếu hụt, điều chỉnh ng</w:t>
      </w:r>
      <w:r>
        <w:rPr>
          <w:rtl w:val="0"/>
        </w:rPr>
        <w:t>ưỡ</w:t>
      </w:r>
      <w:r>
        <w:rPr>
          <w:rtl w:val="0"/>
          <w:lang w:val="vi-VN" w:eastAsia="vi-VN"/>
        </w:rPr>
        <w:t>ng đo lường các chỉ số thiếu hụt, áp dụng đầy đủ phương pháp tiếp cận đo lường nghèo đa chiều, nâng chuẩn nghèo thu nhập cao hơn chuẩn của quốc gia với điều kiện tự cân đối ngân sách địa phương theo quy định của pháp luật để hỗ trợ các chính sách cho đối tượng nghèo, cận nghèo trên địa bàn do điều ch</w:t>
      </w:r>
      <w:r>
        <w:rPr>
          <w:rtl w:val="0"/>
        </w:rPr>
        <w:t>ỉ</w:t>
      </w:r>
      <w:r>
        <w:rPr>
          <w:rtl w:val="0"/>
          <w:lang w:val="vi-VN" w:eastAsia="vi-VN"/>
        </w:rPr>
        <w:t>nh, nâng chuẩn.</w:t>
      </w:r>
    </w:p>
    <w:p>
      <w:pPr>
        <w:bidi w:val="0"/>
        <w:spacing w:before="120" w:beforeAutospacing="0" w:after="280" w:afterAutospacing="1"/>
      </w:pPr>
      <w:bookmarkStart w:id="5" w:name="dieu_4"/>
      <w:r>
        <w:rPr>
          <w:b/>
          <w:bCs/>
          <w:rtl w:val="0"/>
        </w:rPr>
        <w:t>Điều 4. Hiệu lực thi hành</w:t>
      </w:r>
      <w:bookmarkEnd w:id="5"/>
    </w:p>
    <w:p>
      <w:pPr>
        <w:bidi w:val="0"/>
        <w:spacing w:before="120" w:beforeAutospacing="0" w:after="280" w:afterAutospacing="1"/>
      </w:pPr>
      <w:r>
        <w:rPr>
          <w:rtl w:val="0"/>
          <w:lang w:val="vi-VN" w:eastAsia="vi-VN"/>
        </w:rPr>
        <w:t>1. Quyết định này có hiệu lực th</w:t>
      </w:r>
      <w:r>
        <w:rPr>
          <w:rtl w:val="0"/>
        </w:rPr>
        <w:t xml:space="preserve">i </w:t>
      </w:r>
      <w:r>
        <w:rPr>
          <w:rtl w:val="0"/>
          <w:lang w:val="vi-VN" w:eastAsia="vi-VN"/>
        </w:rPr>
        <w:t>hành kể từ ngày 05 tháng 01 năm 2016.</w:t>
      </w:r>
    </w:p>
    <w:p>
      <w:pPr>
        <w:bidi w:val="0"/>
        <w:spacing w:before="120" w:beforeAutospacing="0" w:after="280" w:afterAutospacing="1"/>
      </w:pPr>
      <w:r>
        <w:rPr>
          <w:rtl w:val="0"/>
          <w:lang w:val="vi-VN" w:eastAsia="vi-VN"/>
        </w:rPr>
        <w:t>Các nội dung quy định tại Điều 1 và Điều 2 Quyết định này được thực hiện từ ngày 01 tháng 01 năm 2016.</w:t>
      </w:r>
    </w:p>
    <w:p>
      <w:pPr>
        <w:bidi w:val="0"/>
        <w:spacing w:before="120" w:beforeAutospacing="0" w:after="280" w:afterAutospacing="1"/>
      </w:pPr>
      <w:r>
        <w:rPr>
          <w:rtl w:val="0"/>
          <w:lang w:val="vi-VN" w:eastAsia="vi-VN"/>
        </w:rPr>
        <w:t xml:space="preserve">2. Các Bộ trưởng, Thủ trưởng cơ quan ngang Bộ, Thủ trưởng cơ quan thuộc Chính phủ, Chủ tịch </w:t>
      </w:r>
      <w:r>
        <w:rPr>
          <w:rtl w:val="0"/>
        </w:rPr>
        <w:t>Ủ</w:t>
      </w:r>
      <w:r>
        <w:rPr>
          <w:rtl w:val="0"/>
          <w:lang w:val="vi-VN" w:eastAsia="vi-VN"/>
        </w:rPr>
        <w:t xml:space="preserve">y ban nhân dân các tỉnh, thành phố trực thuộc Trung </w:t>
      </w:r>
      <w:r>
        <w:rPr>
          <w:rtl w:val="0"/>
        </w:rPr>
        <w:t>ươn</w:t>
      </w:r>
      <w:r>
        <w:rPr>
          <w:rtl w:val="0"/>
          <w:lang w:val="vi-VN" w:eastAsia="vi-VN"/>
        </w:rPr>
        <w:t>g chịu trách nhiệm thi hành Quyết định này./</w:t>
      </w:r>
      <w:r>
        <w:rPr>
          <w:rtl w:val="0"/>
        </w:rPr>
        <w:t>.</w:t>
      </w:r>
    </w:p>
    <w:p>
      <w:pPr>
        <w:bidi w:val="0"/>
        <w:spacing w:before="120" w:beforeAutospacing="0" w:after="280" w:afterAutospacing="1"/>
      </w:pPr>
      <w:r>
        <w:rPr>
          <w:rtl w:val="0"/>
        </w:rPr>
        <w:t> </w:t>
      </w:r>
    </w:p>
    <w:tbl>
      <w:tblPr>
        <w:tblW w:w="8640" w:type="dxa"/>
        <w:jc w:val="left"/>
        <w:tblCellMar>
          <w:top w:w="0" w:type="dxa"/>
          <w:left w:w="0" w:type="dxa"/>
          <w:bottom w:w="0" w:type="dxa"/>
          <w:right w:w="0" w:type="dxa"/>
        </w:tblCellMar>
      </w:tblPr>
      <w:tblGrid>
        <w:gridCol w:w="4602"/>
        <w:gridCol w:w="4038"/>
      </w:tblGrid>
      <w:tr>
        <w:tblPrEx>
          <w:tblW w:w="8640" w:type="dxa"/>
          <w:jc w:val="left"/>
          <w:tblCellMar>
            <w:top w:w="0" w:type="dxa"/>
            <w:left w:w="0" w:type="dxa"/>
            <w:bottom w:w="0" w:type="dxa"/>
            <w:right w:w="0" w:type="dxa"/>
          </w:tblCellMar>
        </w:tblPrEx>
        <w:trPr>
          <w:jc w:val="left"/>
        </w:trPr>
        <w:tc>
          <w:tcPr>
            <w:tcW w:w="4602" w:type="dxa"/>
            <w:shd w:val="clear" w:color="auto" w:fill="auto"/>
            <w:tcMar>
              <w:top w:w="0" w:type="dxa"/>
              <w:left w:w="0" w:type="dxa"/>
              <w:bottom w:w="0" w:type="dxa"/>
              <w:right w:w="0"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lang w:val="vi-VN" w:eastAsia="vi-VN"/>
              </w:rPr>
              <w:t>Nơi nhận:</w:t>
            </w:r>
            <w:r>
              <w:rPr>
                <w:rtl w:val="0"/>
              </w:rPr>
              <w:br/>
            </w:r>
            <w:r>
              <w:rPr>
                <w:sz w:val="16"/>
                <w:rtl w:val="0"/>
                <w:lang w:val="vi-VN" w:eastAsia="vi-VN"/>
              </w:rPr>
              <w:t>- Ban Bí thư Trung ương Đảng;</w:t>
            </w:r>
            <w:r>
              <w:rPr>
                <w:sz w:val="16"/>
                <w:rtl w:val="0"/>
                <w:lang w:val="vi-VN" w:eastAsia="vi-VN"/>
              </w:rPr>
              <w:br/>
            </w:r>
            <w:r>
              <w:rPr>
                <w:sz w:val="16"/>
                <w:rtl w:val="0"/>
                <w:lang w:val="vi-VN" w:eastAsia="vi-VN"/>
              </w:rPr>
              <w:t>- Thủ tướng, các Phó Thủ tướng Chính phủ;</w:t>
            </w:r>
            <w:r>
              <w:rPr>
                <w:sz w:val="16"/>
                <w:rtl w:val="0"/>
                <w:lang w:val="vi-VN" w:eastAsia="vi-VN"/>
              </w:rPr>
              <w:br/>
            </w:r>
            <w:r>
              <w:rPr>
                <w:sz w:val="16"/>
                <w:rtl w:val="0"/>
                <w:lang w:val="vi-VN" w:eastAsia="vi-VN"/>
              </w:rPr>
              <w:t>- Các Bộ, cơ quan ngang Bộ, cơ quan thuộc Chính phủ;</w:t>
            </w:r>
            <w:r>
              <w:rPr>
                <w:sz w:val="16"/>
                <w:rtl w:val="0"/>
                <w:lang w:val="vi-VN" w:eastAsia="vi-VN"/>
              </w:rPr>
              <w:br/>
            </w:r>
            <w:r>
              <w:rPr>
                <w:sz w:val="16"/>
                <w:rtl w:val="0"/>
                <w:lang w:val="vi-VN" w:eastAsia="vi-VN"/>
              </w:rPr>
              <w:t>- HĐND, UBND các t</w:t>
            </w:r>
            <w:r>
              <w:rPr>
                <w:sz w:val="16"/>
                <w:rtl w:val="0"/>
              </w:rPr>
              <w:t>ỉ</w:t>
            </w:r>
            <w:r>
              <w:rPr>
                <w:sz w:val="16"/>
                <w:rtl w:val="0"/>
                <w:lang w:val="vi-VN" w:eastAsia="vi-VN"/>
              </w:rPr>
              <w:t>nh, thành phố trực thuộc Trung ương;</w:t>
            </w:r>
            <w:r>
              <w:rPr>
                <w:sz w:val="16"/>
                <w:rtl w:val="0"/>
                <w:lang w:val="vi-VN" w:eastAsia="vi-VN"/>
              </w:rPr>
              <w:br/>
            </w:r>
            <w:r>
              <w:rPr>
                <w:sz w:val="16"/>
                <w:rtl w:val="0"/>
                <w:lang w:val="vi-VN" w:eastAsia="vi-VN"/>
              </w:rPr>
              <w:t>- Văn phòng Trung ương và các Ban của Đảng;</w:t>
            </w:r>
            <w:r>
              <w:rPr>
                <w:sz w:val="16"/>
                <w:rtl w:val="0"/>
                <w:lang w:val="vi-VN" w:eastAsia="vi-VN"/>
              </w:rPr>
              <w:br/>
            </w:r>
            <w:r>
              <w:rPr>
                <w:sz w:val="16"/>
                <w:rtl w:val="0"/>
                <w:lang w:val="vi-VN" w:eastAsia="vi-VN"/>
              </w:rPr>
              <w:t>- Văn phòng Tổng Bí thư;</w:t>
            </w:r>
            <w:r>
              <w:rPr>
                <w:sz w:val="16"/>
                <w:rtl w:val="0"/>
                <w:lang w:val="vi-VN" w:eastAsia="vi-VN"/>
              </w:rPr>
              <w:br/>
            </w:r>
            <w:r>
              <w:rPr>
                <w:sz w:val="16"/>
                <w:rtl w:val="0"/>
                <w:lang w:val="vi-VN" w:eastAsia="vi-VN"/>
              </w:rPr>
              <w:t>- Văn phòng Chủ tịch nước;</w:t>
            </w:r>
            <w:r>
              <w:rPr>
                <w:sz w:val="16"/>
                <w:rtl w:val="0"/>
                <w:lang w:val="vi-VN" w:eastAsia="vi-VN"/>
              </w:rPr>
              <w:br/>
            </w:r>
            <w:r>
              <w:rPr>
                <w:sz w:val="16"/>
                <w:rtl w:val="0"/>
                <w:lang w:val="vi-VN" w:eastAsia="vi-VN"/>
              </w:rPr>
              <w:t xml:space="preserve">- Hội đồng Dân tộc và các </w:t>
            </w:r>
            <w:r>
              <w:rPr>
                <w:sz w:val="16"/>
                <w:rtl w:val="0"/>
              </w:rPr>
              <w:t>Ủ</w:t>
            </w:r>
            <w:r>
              <w:rPr>
                <w:sz w:val="16"/>
                <w:rtl w:val="0"/>
                <w:lang w:val="vi-VN" w:eastAsia="vi-VN"/>
              </w:rPr>
              <w:t>y ban của Quốc hội;</w:t>
            </w:r>
            <w:r>
              <w:rPr>
                <w:sz w:val="16"/>
                <w:rtl w:val="0"/>
                <w:lang w:val="vi-VN" w:eastAsia="vi-VN"/>
              </w:rPr>
              <w:br/>
            </w:r>
            <w:r>
              <w:rPr>
                <w:sz w:val="16"/>
                <w:rtl w:val="0"/>
              </w:rPr>
              <w:t xml:space="preserve">- </w:t>
            </w:r>
            <w:r>
              <w:rPr>
                <w:sz w:val="16"/>
                <w:rtl w:val="0"/>
                <w:lang w:val="vi-VN" w:eastAsia="vi-VN"/>
              </w:rPr>
              <w:t>Văn phòng Quốc hội;</w:t>
            </w:r>
            <w:r>
              <w:rPr>
                <w:sz w:val="16"/>
                <w:rtl w:val="0"/>
                <w:lang w:val="vi-VN" w:eastAsia="vi-VN"/>
              </w:rPr>
              <w:br/>
            </w:r>
            <w:r>
              <w:rPr>
                <w:sz w:val="16"/>
                <w:rtl w:val="0"/>
                <w:lang w:val="vi-VN" w:eastAsia="vi-VN"/>
              </w:rPr>
              <w:t>- Kiểm toán nhà nước;</w:t>
            </w:r>
            <w:r>
              <w:rPr>
                <w:sz w:val="16"/>
                <w:rtl w:val="0"/>
                <w:lang w:val="vi-VN" w:eastAsia="vi-VN"/>
              </w:rPr>
              <w:br/>
            </w:r>
            <w:r>
              <w:rPr>
                <w:sz w:val="16"/>
                <w:rtl w:val="0"/>
                <w:lang w:val="vi-VN" w:eastAsia="vi-VN"/>
              </w:rPr>
              <w:t>- Tòa án nhân dân tối cao;</w:t>
            </w:r>
            <w:r>
              <w:rPr>
                <w:sz w:val="16"/>
                <w:rtl w:val="0"/>
                <w:lang w:val="vi-VN" w:eastAsia="vi-VN"/>
              </w:rPr>
              <w:br/>
            </w:r>
            <w:r>
              <w:rPr>
                <w:sz w:val="16"/>
                <w:rtl w:val="0"/>
                <w:lang w:val="vi-VN" w:eastAsia="vi-VN"/>
              </w:rPr>
              <w:t>- Viện Kiểm sát nhân dân tối cao;</w:t>
            </w:r>
            <w:r>
              <w:rPr>
                <w:sz w:val="16"/>
                <w:rtl w:val="0"/>
                <w:lang w:val="vi-VN" w:eastAsia="vi-VN"/>
              </w:rPr>
              <w:br/>
            </w:r>
            <w:r>
              <w:rPr>
                <w:sz w:val="16"/>
                <w:rtl w:val="0"/>
                <w:lang w:val="vi-VN" w:eastAsia="vi-VN"/>
              </w:rPr>
              <w:t xml:space="preserve">- </w:t>
            </w:r>
            <w:r>
              <w:rPr>
                <w:sz w:val="16"/>
                <w:rtl w:val="0"/>
              </w:rPr>
              <w:t>Ủ</w:t>
            </w:r>
            <w:r>
              <w:rPr>
                <w:sz w:val="16"/>
                <w:rtl w:val="0"/>
                <w:lang w:val="vi-VN" w:eastAsia="vi-VN"/>
              </w:rPr>
              <w:t>y ban Gi</w:t>
            </w:r>
            <w:r>
              <w:rPr>
                <w:sz w:val="16"/>
                <w:rtl w:val="0"/>
              </w:rPr>
              <w:t>á</w:t>
            </w:r>
            <w:r>
              <w:rPr>
                <w:sz w:val="16"/>
                <w:rtl w:val="0"/>
                <w:lang w:val="vi-VN" w:eastAsia="vi-VN"/>
              </w:rPr>
              <w:t>m sát tài chính Quốc gia;</w:t>
            </w:r>
            <w:r>
              <w:rPr>
                <w:sz w:val="16"/>
                <w:rtl w:val="0"/>
                <w:lang w:val="vi-VN" w:eastAsia="vi-VN"/>
              </w:rPr>
              <w:br/>
            </w:r>
            <w:r>
              <w:rPr>
                <w:sz w:val="16"/>
                <w:rtl w:val="0"/>
                <w:lang w:val="vi-VN" w:eastAsia="vi-VN"/>
              </w:rPr>
              <w:t>- Ngân hàng Chính sách xã hội;</w:t>
            </w:r>
            <w:r>
              <w:rPr>
                <w:sz w:val="16"/>
                <w:rtl w:val="0"/>
                <w:lang w:val="vi-VN" w:eastAsia="vi-VN"/>
              </w:rPr>
              <w:br/>
            </w:r>
            <w:r>
              <w:rPr>
                <w:sz w:val="16"/>
                <w:rtl w:val="0"/>
                <w:lang w:val="vi-VN" w:eastAsia="vi-VN"/>
              </w:rPr>
              <w:t>- Ngân hàng Phát triển Việt Nam;</w:t>
            </w:r>
            <w:r>
              <w:rPr>
                <w:sz w:val="16"/>
                <w:rtl w:val="0"/>
                <w:lang w:val="vi-VN" w:eastAsia="vi-VN"/>
              </w:rPr>
              <w:br/>
            </w:r>
            <w:r>
              <w:rPr>
                <w:sz w:val="16"/>
                <w:rtl w:val="0"/>
                <w:lang w:val="vi-VN" w:eastAsia="vi-VN"/>
              </w:rPr>
              <w:t xml:space="preserve">- </w:t>
            </w:r>
            <w:r>
              <w:rPr>
                <w:sz w:val="16"/>
                <w:rtl w:val="0"/>
              </w:rPr>
              <w:t>Ủ</w:t>
            </w:r>
            <w:r>
              <w:rPr>
                <w:sz w:val="16"/>
                <w:rtl w:val="0"/>
                <w:lang w:val="vi-VN" w:eastAsia="vi-VN"/>
              </w:rPr>
              <w:t>y ban Trung ương Mặt trận Tổ quốc Việt Nam;</w:t>
            </w:r>
            <w:r>
              <w:rPr>
                <w:sz w:val="16"/>
                <w:rtl w:val="0"/>
                <w:lang w:val="vi-VN" w:eastAsia="vi-VN"/>
              </w:rPr>
              <w:br/>
            </w:r>
            <w:r>
              <w:rPr>
                <w:sz w:val="16"/>
                <w:rtl w:val="0"/>
                <w:lang w:val="vi-VN" w:eastAsia="vi-VN"/>
              </w:rPr>
              <w:t>- Cơ quan Trung ương của các đoàn thể;</w:t>
            </w:r>
            <w:r>
              <w:rPr>
                <w:sz w:val="16"/>
                <w:rtl w:val="0"/>
                <w:lang w:val="vi-VN" w:eastAsia="vi-VN"/>
              </w:rPr>
              <w:br/>
            </w:r>
            <w:r>
              <w:rPr>
                <w:sz w:val="16"/>
                <w:rtl w:val="0"/>
                <w:lang w:val="vi-VN" w:eastAsia="vi-VN"/>
              </w:rPr>
              <w:t xml:space="preserve">- VPCP: BTCN; các PCN, Trợ lý TTg, TGĐ </w:t>
            </w:r>
            <w:r>
              <w:rPr>
                <w:sz w:val="16"/>
                <w:rtl w:val="0"/>
              </w:rPr>
              <w:t>C</w:t>
            </w:r>
            <w:r>
              <w:rPr>
                <w:sz w:val="16"/>
                <w:rtl w:val="0"/>
                <w:lang w:val="vi-VN" w:eastAsia="vi-VN"/>
              </w:rPr>
              <w:t>ổng TTĐT,</w:t>
            </w:r>
            <w:r>
              <w:rPr>
                <w:sz w:val="16"/>
                <w:rtl w:val="0"/>
              </w:rPr>
              <w:br/>
            </w:r>
            <w:r>
              <w:rPr>
                <w:sz w:val="16"/>
                <w:rtl w:val="0"/>
                <w:lang w:val="vi-VN" w:eastAsia="vi-VN"/>
              </w:rPr>
              <w:t>các Vụ, Cục, đ</w:t>
            </w:r>
            <w:r>
              <w:rPr>
                <w:sz w:val="16"/>
                <w:rtl w:val="0"/>
              </w:rPr>
              <w:t xml:space="preserve">ơn </w:t>
            </w:r>
            <w:r>
              <w:rPr>
                <w:sz w:val="16"/>
                <w:rtl w:val="0"/>
                <w:lang w:val="vi-VN" w:eastAsia="vi-VN"/>
              </w:rPr>
              <w:t>vị trực thuộc, Công báo;</w:t>
            </w:r>
            <w:r>
              <w:rPr>
                <w:sz w:val="16"/>
                <w:rtl w:val="0"/>
                <w:lang w:val="vi-VN" w:eastAsia="vi-VN"/>
              </w:rPr>
              <w:br/>
            </w:r>
            <w:r>
              <w:rPr>
                <w:sz w:val="16"/>
                <w:rtl w:val="0"/>
                <w:lang w:val="vi-VN" w:eastAsia="vi-VN"/>
              </w:rPr>
              <w:t xml:space="preserve">- Lưu: VT, </w:t>
            </w:r>
            <w:r>
              <w:rPr>
                <w:sz w:val="16"/>
                <w:rtl w:val="0"/>
              </w:rPr>
              <w:t>KGVX (3b).</w:t>
            </w:r>
          </w:p>
        </w:tc>
        <w:tc>
          <w:tcPr>
            <w:tcW w:w="4038" w:type="dxa"/>
            <w:shd w:val="clear" w:color="auto" w:fill="auto"/>
            <w:tcMar>
              <w:top w:w="0" w:type="dxa"/>
              <w:left w:w="0" w:type="dxa"/>
              <w:bottom w:w="0" w:type="dxa"/>
              <w:right w:w="0" w:type="dxa"/>
            </w:tcMar>
          </w:tcPr>
          <w:p>
            <w:pPr>
              <w:bidi w:val="0"/>
              <w:spacing w:before="120" w:beforeAutospacing="0" w:after="0" w:afterAutospacing="0"/>
              <w:jc w:val="center"/>
            </w:pPr>
            <w:r>
              <w:rPr>
                <w:b/>
                <w:bCs/>
                <w:rtl w:val="0"/>
              </w:rPr>
              <w:t xml:space="preserve">THỦ TƯỚNG </w:t>
            </w:r>
            <w:r>
              <w:rPr>
                <w:b/>
                <w:bCs/>
                <w:rtl w:val="0"/>
              </w:rPr>
              <w:br/>
            </w:r>
            <w:r>
              <w:rPr>
                <w:b/>
                <w:bCs/>
                <w:rtl w:val="0"/>
              </w:rPr>
              <w:br/>
            </w:r>
            <w:r>
              <w:rPr>
                <w:b/>
                <w:bCs/>
                <w:rtl w:val="0"/>
              </w:rPr>
              <w:br/>
            </w:r>
            <w:r>
              <w:rPr>
                <w:b/>
                <w:bCs/>
                <w:rtl w:val="0"/>
              </w:rPr>
              <w:br/>
            </w:r>
            <w:r>
              <w:rPr>
                <w:b/>
                <w:bCs/>
                <w:rtl w:val="0"/>
              </w:rPr>
              <w:br/>
            </w:r>
            <w:r>
              <w:rPr>
                <w:b/>
                <w:bCs/>
                <w:rtl w:val="0"/>
              </w:rPr>
              <w:t>Nguyễn Tấn Dũng</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