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52/2025/TT-BYT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12 năm 2025</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BỆNH TRUYỀN NHIỄM, ĐỐI TƯỢNG VÀ PHẠM VI PHẢI SỬ DỤNG VẮC XIN, SINH PHẨM Y TẾ BẮT BUỘC</w:t>
      </w:r>
      <w:bookmarkEnd w:id="1"/>
    </w:p>
    <w:p>
      <w:pPr>
        <w:bidi w:val="0"/>
        <w:spacing w:before="120" w:beforeAutospacing="0" w:after="280" w:afterAutospacing="1"/>
      </w:pPr>
      <w:r>
        <w:rPr>
          <w:i/>
          <w:iCs/>
          <w:rtl w:val="0"/>
        </w:rPr>
        <w:t xml:space="preserve">Căn cứ </w:t>
      </w:r>
      <w:bookmarkStart w:id="2" w:name="tvpllink_vywvezbeaq"/>
      <w:r>
        <w:rPr>
          <w:i/>
          <w:iCs/>
          <w:rtl w:val="0"/>
        </w:rPr>
        <w:t>Luật Phòng, chống bệnh truyền nhiễm số 03/2007/QH12</w:t>
      </w:r>
      <w:bookmarkEnd w:id="2"/>
      <w:r>
        <w:rPr>
          <w:i/>
          <w:iCs/>
          <w:rtl w:val="0"/>
        </w:rPr>
        <w:t>;</w:t>
      </w:r>
    </w:p>
    <w:p>
      <w:pPr>
        <w:bidi w:val="0"/>
        <w:spacing w:before="120" w:beforeAutospacing="0" w:after="280" w:afterAutospacing="1"/>
      </w:pPr>
      <w:r>
        <w:rPr>
          <w:i/>
          <w:iCs/>
          <w:rtl w:val="0"/>
        </w:rPr>
        <w:t xml:space="preserve">Căn cứ Nghị định số </w:t>
      </w:r>
      <w:bookmarkStart w:id="3" w:name="tvpllink_pjdggapugf"/>
      <w:r>
        <w:rPr>
          <w:i/>
          <w:iCs/>
          <w:rtl w:val="0"/>
        </w:rPr>
        <w:t>42/2025/NĐ-CP</w:t>
      </w:r>
      <w:bookmarkEnd w:id="3"/>
      <w:r>
        <w:rPr>
          <w:i/>
          <w:iCs/>
          <w:rtl w:val="0"/>
        </w:rPr>
        <w:t xml:space="preserve"> ngày 27 tháng 02 năm 2025 của Chính phủ quy định chức năng, nhiệm vụ, quyền hạn và cơ cấu tổ chức của Bộ Y tế;</w:t>
      </w:r>
    </w:p>
    <w:p>
      <w:pPr>
        <w:bidi w:val="0"/>
        <w:spacing w:before="120" w:beforeAutospacing="0" w:after="280" w:afterAutospacing="1"/>
      </w:pPr>
      <w:r>
        <w:rPr>
          <w:i/>
          <w:iCs/>
          <w:rtl w:val="0"/>
        </w:rPr>
        <w:t>Theo đề nghị của Cục trưởng Cục Phòng bệnh;</w:t>
      </w:r>
    </w:p>
    <w:p>
      <w:pPr>
        <w:bidi w:val="0"/>
        <w:spacing w:before="120" w:beforeAutospacing="0" w:after="280" w:afterAutospacing="1"/>
      </w:pPr>
      <w:r>
        <w:rPr>
          <w:i/>
          <w:iCs/>
          <w:rtl w:val="0"/>
        </w:rPr>
        <w:t>Bộ trưởng Bộ Y tế ban hành Thông tư ban hành danh mục bệnh truyền nhiễm, đối tượng và phạm vi phải sử dụng vắc xin, sinh phẩm y tế bắt buộc.</w:t>
      </w:r>
    </w:p>
    <w:p>
      <w:pPr>
        <w:bidi w:val="0"/>
        <w:spacing w:before="120" w:beforeAutospacing="0" w:after="280" w:afterAutospacing="1"/>
      </w:pPr>
      <w:bookmarkStart w:id="4" w:name="dieu_1"/>
      <w:r>
        <w:rPr>
          <w:b/>
          <w:bCs/>
          <w:rtl w:val="0"/>
        </w:rPr>
        <w:t>Điều 1. Danh mục bệnh truyền nhiễm, đối tượng phải sử dụng vắc xin bắt buộc và độ tuổi, lịch tiêm chủng trong Chương trình tiêm chủng mở rộng</w:t>
      </w:r>
      <w:bookmarkEnd w:id="4"/>
    </w:p>
    <w:tbl>
      <w:tblPr>
        <w:tblW w:w="5000" w:type="pct"/>
        <w:jc w:val="left"/>
        <w:tblCellMar>
          <w:top w:w="0" w:type="dxa"/>
          <w:left w:w="0" w:type="dxa"/>
          <w:bottom w:w="0" w:type="dxa"/>
          <w:right w:w="0" w:type="dxa"/>
        </w:tblCellMar>
      </w:tblPr>
      <w:tblGrid>
        <w:gridCol w:w="555"/>
        <w:gridCol w:w="1697"/>
        <w:gridCol w:w="1655"/>
        <w:gridCol w:w="843"/>
        <w:gridCol w:w="3890"/>
      </w:tblGrid>
      <w:tr>
        <w:tblPrEx>
          <w:tblW w:w="5000" w:type="pct"/>
          <w:jc w:val="left"/>
          <w:tblCellMar>
            <w:top w:w="0" w:type="dxa"/>
            <w:left w:w="0" w:type="dxa"/>
            <w:bottom w:w="0" w:type="dxa"/>
            <w:right w:w="0" w:type="dxa"/>
          </w:tblCellMar>
        </w:tblPrEx>
        <w:trPr>
          <w:jc w:val="left"/>
        </w:trPr>
        <w:tc>
          <w:tcPr>
            <w:tcW w:w="32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98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Bệnh truyền nhiễm</w:t>
            </w:r>
          </w:p>
        </w:tc>
        <w:tc>
          <w:tcPr>
            <w:tcW w:w="3697"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Vắc xin, đối tượng và độ tuổi, lịch tiêm chủng</w:t>
            </w:r>
            <w:r>
              <w:rPr>
                <w:rtl w:val="0"/>
              </w:rPr>
              <w:t xml:space="preserve"> </w:t>
            </w:r>
            <w:r>
              <w:rPr>
                <w:b/>
                <w:bCs/>
                <w:rtl w:val="0"/>
              </w:rPr>
              <w:t>trong Chương trình tiêm chủng mở rộng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Vắc xin</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Đối</w:t>
            </w:r>
            <w:r>
              <w:rPr>
                <w:rtl w:val="0"/>
              </w:rPr>
              <w:t xml:space="preserve"> </w:t>
            </w:r>
            <w:r>
              <w:rPr>
                <w:b/>
                <w:bCs/>
                <w:rtl w:val="0"/>
              </w:rPr>
              <w:t>tượng</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Độ tuổi, lịch tiêm chủng</w:t>
            </w:r>
          </w:p>
        </w:tc>
      </w:tr>
      <w:tr>
        <w:tblPrEx>
          <w:tblW w:w="5000" w:type="pct"/>
          <w:jc w:val="left"/>
          <w:tblCellMar>
            <w:top w:w="0" w:type="dxa"/>
            <w:left w:w="0" w:type="dxa"/>
            <w:bottom w:w="0" w:type="dxa"/>
            <w:right w:w="0" w:type="dxa"/>
          </w:tblCellMar>
        </w:tblPrEx>
        <w:trPr>
          <w:jc w:val="left"/>
        </w:trPr>
        <w:tc>
          <w:tcPr>
            <w:tcW w:w="32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viêm gan vi rút (bắt buộc đối với bệnh viêm gan vi rút B)</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viêm gan B đơn giá</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sơ sinh</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một lần cho trẻ sơ sinh (liều sơ sinh) trong vòng 24 giờ sau khi sinh.</w:t>
            </w:r>
          </w:p>
          <w:p>
            <w:pPr>
              <w:bidi w:val="0"/>
              <w:spacing w:before="120" w:beforeAutospacing="0" w:after="0" w:afterAutospacing="0"/>
              <w:rPr>
                <w:rtl w:val="0"/>
              </w:rPr>
            </w:pPr>
            <w:r>
              <w:rPr>
                <w:rtl w:val="0"/>
              </w:rPr>
              <w:t>- Trường hợp tiêm chủng không đúng theo lịch thì tiêm sớm cho trẻ sơ sinh ngay khi có thể trong vòng 28 ngày sau khi sinh.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viêm gan B</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2 tháng tuổi.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ít nhất 1 tháng sau tiêm lần 2.</w:t>
            </w:r>
          </w:p>
          <w:p>
            <w:pPr>
              <w:bidi w:val="0"/>
              <w:spacing w:before="120" w:beforeAutospacing="0" w:after="280" w:afterAutospacing="1"/>
              <w:rPr>
                <w:rtl w:val="0"/>
              </w:rPr>
            </w:pPr>
            <w:r>
              <w:rPr>
                <w:rtl w:val="0"/>
              </w:rPr>
              <w:t>- Trường hợp tiêm chủng không đúng theo lịch thì tiến hành như sau:</w:t>
            </w:r>
          </w:p>
          <w:p>
            <w:pPr>
              <w:bidi w:val="0"/>
              <w:spacing w:before="120" w:beforeAutospacing="0" w:after="280" w:afterAutospacing="1"/>
              <w:rPr>
                <w:rtl w:val="0"/>
              </w:rPr>
            </w:pPr>
            <w:r>
              <w:rPr>
                <w:rtl w:val="0"/>
              </w:rPr>
              <w:t>+ Đối với trẻ dưới 12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280" w:afterAutospacing="1"/>
              <w:rPr>
                <w:rtl w:val="0"/>
              </w:rPr>
            </w:pPr>
            <w:r>
              <w:rPr>
                <w:rtl w:val="0"/>
              </w:rPr>
              <w:t>Tiêm lần 3: ít nhất 1 tháng sau tiêm lần 2.</w:t>
            </w:r>
          </w:p>
          <w:p>
            <w:pPr>
              <w:bidi w:val="0"/>
              <w:spacing w:before="120" w:beforeAutospacing="0" w:after="280" w:afterAutospacing="1"/>
              <w:rPr>
                <w:rtl w:val="0"/>
              </w:rPr>
            </w:pPr>
            <w:r>
              <w:rPr>
                <w:rtl w:val="0"/>
              </w:rPr>
              <w:t>+ Đối với trẻ từ 12 tháng tuổi trở lên</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0" w:afterAutospacing="0"/>
              <w:rPr>
                <w:rtl w:val="0"/>
              </w:rPr>
            </w:pPr>
            <w:r>
              <w:rPr>
                <w:rtl w:val="0"/>
              </w:rPr>
              <w:t>Tiêm lần 3: ít nhất 6 tháng sau tiêm lần 2.</w:t>
            </w:r>
          </w:p>
        </w:tc>
      </w:tr>
      <w:tr>
        <w:tblPrEx>
          <w:tblW w:w="5000" w:type="pct"/>
          <w:jc w:val="left"/>
          <w:tblCellMar>
            <w:top w:w="0" w:type="dxa"/>
            <w:left w:w="0" w:type="dxa"/>
            <w:bottom w:w="0" w:type="dxa"/>
            <w:right w:w="0" w:type="dxa"/>
          </w:tblCellMar>
        </w:tblPrEx>
        <w:trPr>
          <w:jc w:val="left"/>
        </w:trPr>
        <w:tc>
          <w:tcPr>
            <w:tcW w:w="3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9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lao phổi</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lao</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một lần cho trẻ trong vòng 1 tháng sau khi sinh.</w:t>
            </w:r>
          </w:p>
          <w:p>
            <w:pPr>
              <w:bidi w:val="0"/>
              <w:spacing w:before="120" w:beforeAutospacing="0" w:after="0" w:afterAutospacing="0"/>
              <w:rPr>
                <w:rtl w:val="0"/>
              </w:rPr>
            </w:pPr>
            <w:r>
              <w:rPr>
                <w:rtl w:val="0"/>
              </w:rPr>
              <w:t>- Trường hợp tiêm chủng không đúng theo lịch thì tiêm 1 lần ngay khi có thể trước khi trẻ đủ 12 tháng tuổi.</w:t>
            </w:r>
          </w:p>
        </w:tc>
      </w:tr>
      <w:tr>
        <w:tblPrEx>
          <w:tblW w:w="5000" w:type="pct"/>
          <w:jc w:val="left"/>
          <w:tblCellMar>
            <w:top w:w="0" w:type="dxa"/>
            <w:left w:w="0" w:type="dxa"/>
            <w:bottom w:w="0" w:type="dxa"/>
            <w:right w:w="0" w:type="dxa"/>
          </w:tblCellMar>
        </w:tblPrEx>
        <w:trPr>
          <w:jc w:val="left"/>
        </w:trPr>
        <w:tc>
          <w:tcPr>
            <w:tcW w:w="32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9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bạch hầu</w:t>
            </w:r>
          </w:p>
        </w:tc>
        <w:tc>
          <w:tcPr>
            <w:tcW w:w="95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bạch hầu</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2 tháng tuổi.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ít nhất 1 tháng sau tiêm lần 2.</w:t>
            </w:r>
          </w:p>
          <w:p>
            <w:pPr>
              <w:bidi w:val="0"/>
              <w:spacing w:before="120" w:beforeAutospacing="0" w:after="280" w:afterAutospacing="1"/>
              <w:rPr>
                <w:rtl w:val="0"/>
              </w:rPr>
            </w:pPr>
            <w:r>
              <w:rPr>
                <w:rtl w:val="0"/>
              </w:rPr>
              <w:t>- Trường hợp tiêm chủng không đúng theo lịch thì tiến hành như sau:</w:t>
            </w:r>
          </w:p>
          <w:p>
            <w:pPr>
              <w:bidi w:val="0"/>
              <w:spacing w:before="120" w:beforeAutospacing="0" w:after="280" w:afterAutospacing="1"/>
              <w:rPr>
                <w:rtl w:val="0"/>
              </w:rPr>
            </w:pPr>
            <w:r>
              <w:rPr>
                <w:rtl w:val="0"/>
              </w:rPr>
              <w:t>+ Đối với trẻ dưới 12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280" w:afterAutospacing="1"/>
              <w:rPr>
                <w:rtl w:val="0"/>
              </w:rPr>
            </w:pPr>
            <w:r>
              <w:rPr>
                <w:rtl w:val="0"/>
              </w:rPr>
              <w:t>Tiêm lần 3: ít nhất 1 tháng sau tiêm lần 2</w:t>
            </w:r>
          </w:p>
          <w:p>
            <w:pPr>
              <w:bidi w:val="0"/>
              <w:spacing w:before="120" w:beforeAutospacing="0" w:after="280" w:afterAutospacing="1"/>
              <w:rPr>
                <w:rtl w:val="0"/>
              </w:rPr>
            </w:pPr>
            <w:r>
              <w:rPr>
                <w:rtl w:val="0"/>
              </w:rPr>
              <w:t>+ Đối với trẻ từ 12 tháng tuổi trở lên</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0" w:afterAutospacing="0"/>
              <w:rPr>
                <w:rtl w:val="0"/>
              </w:rPr>
            </w:pPr>
            <w:r>
              <w:rPr>
                <w:rtl w:val="0"/>
              </w:rPr>
              <w:t>Tiêm lần 3: ít nhất 6 tháng sau tiêm lần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nhắc lại lần 1 khi trẻ đủ 18 tháng tuổi.</w:t>
            </w:r>
          </w:p>
          <w:p>
            <w:pPr>
              <w:bidi w:val="0"/>
              <w:spacing w:before="120" w:beforeAutospacing="0" w:after="0" w:afterAutospacing="0"/>
              <w:rPr>
                <w:rtl w:val="0"/>
              </w:rPr>
            </w:pPr>
            <w:r>
              <w:rPr>
                <w:rtl w:val="0"/>
              </w:rPr>
              <w:t>- Trường hợp tiêm chủng nhắc lại lần 1 không đúng theo lịch thì tiêm nhắc lại lần 1 khi trẻ từ 18 tháng tuổi trở lên cách ít nhất 6 tháng sau tiêm lần 3 và trước khi trẻ đủ 4 tuổi.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bạch hầu giảm liều</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nhắc lại lần 2 khi trẻ đủ 7 tuổi.</w:t>
            </w:r>
          </w:p>
          <w:p>
            <w:pPr>
              <w:bidi w:val="0"/>
              <w:spacing w:before="120" w:beforeAutospacing="0" w:after="0" w:afterAutospacing="0"/>
              <w:rPr>
                <w:rtl w:val="0"/>
              </w:rPr>
            </w:pPr>
            <w:r>
              <w:rPr>
                <w:rtl w:val="0"/>
              </w:rPr>
              <w:t>- Trường hợp tiêm chủng nhắc lại lần 2 không đúng theo lịch thì tiêm nhắc lại lần 2 khi trẻ từ 7 tuổi trở lên cách ít nhất 4 năm sau tiêm nhắc lại lần 1.</w:t>
            </w:r>
          </w:p>
        </w:tc>
      </w:tr>
      <w:tr>
        <w:tblPrEx>
          <w:tblW w:w="5000" w:type="pct"/>
          <w:jc w:val="left"/>
          <w:tblCellMar>
            <w:top w:w="0" w:type="dxa"/>
            <w:left w:w="0" w:type="dxa"/>
            <w:bottom w:w="0" w:type="dxa"/>
            <w:right w:w="0" w:type="dxa"/>
          </w:tblCellMar>
        </w:tblPrEx>
        <w:trPr>
          <w:jc w:val="left"/>
        </w:trPr>
        <w:tc>
          <w:tcPr>
            <w:tcW w:w="32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9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ho gà</w:t>
            </w:r>
          </w:p>
        </w:tc>
        <w:tc>
          <w:tcPr>
            <w:tcW w:w="95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ho gà</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2 tháng tuổi.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ít nhất 1 tháng sau tiêm lần 2.</w:t>
            </w:r>
          </w:p>
          <w:p>
            <w:pPr>
              <w:bidi w:val="0"/>
              <w:spacing w:before="120" w:beforeAutospacing="0" w:after="280" w:afterAutospacing="1"/>
              <w:rPr>
                <w:rtl w:val="0"/>
              </w:rPr>
            </w:pPr>
            <w:r>
              <w:rPr>
                <w:rtl w:val="0"/>
              </w:rPr>
              <w:t>- Trường hợp tiêm chủng không đúng theo lịch:</w:t>
            </w:r>
          </w:p>
          <w:p>
            <w:pPr>
              <w:bidi w:val="0"/>
              <w:spacing w:before="120" w:beforeAutospacing="0" w:after="280" w:afterAutospacing="1"/>
              <w:rPr>
                <w:rtl w:val="0"/>
              </w:rPr>
            </w:pPr>
            <w:r>
              <w:rPr>
                <w:rtl w:val="0"/>
              </w:rPr>
              <w:t>+ Đối với trẻ dưới 12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280" w:afterAutospacing="1"/>
              <w:rPr>
                <w:rtl w:val="0"/>
              </w:rPr>
            </w:pPr>
            <w:r>
              <w:rPr>
                <w:rtl w:val="0"/>
              </w:rPr>
              <w:t>Tiêm lần 3: ít nhất 1 tháng sau tiêm lần 2.</w:t>
            </w:r>
          </w:p>
          <w:p>
            <w:pPr>
              <w:bidi w:val="0"/>
              <w:spacing w:before="120" w:beforeAutospacing="0" w:after="280" w:afterAutospacing="1"/>
              <w:rPr>
                <w:rtl w:val="0"/>
              </w:rPr>
            </w:pPr>
            <w:r>
              <w:rPr>
                <w:rtl w:val="0"/>
              </w:rPr>
              <w:t>+ Đối với trẻ từ 12 tháng tuổi trở lên</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0" w:afterAutospacing="0"/>
              <w:rPr>
                <w:rtl w:val="0"/>
              </w:rPr>
            </w:pPr>
            <w:r>
              <w:rPr>
                <w:rtl w:val="0"/>
              </w:rPr>
              <w:t>Tiêm lần 3: ít nhất 6 tháng sau tiêm lần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nhắc lại khi trẻ đủ 18 tháng tuổi.</w:t>
            </w:r>
          </w:p>
          <w:p>
            <w:pPr>
              <w:bidi w:val="0"/>
              <w:spacing w:before="120" w:beforeAutospacing="0" w:after="0" w:afterAutospacing="0"/>
              <w:rPr>
                <w:rtl w:val="0"/>
              </w:rPr>
            </w:pPr>
            <w:r>
              <w:rPr>
                <w:rtl w:val="0"/>
              </w:rPr>
              <w:t>- Trường hợp tiêm chủng nhắc lại không đúng theo lịch thì tiêm nhắc lại khi trẻ từ 18 tháng tuổi trở lên cách ít nhất 6 tháng sau tiêm lần 3 và trước khi trẻ đủ 4 tuổi.</w:t>
            </w:r>
          </w:p>
        </w:tc>
      </w:tr>
      <w:tr>
        <w:tblPrEx>
          <w:tblW w:w="5000" w:type="pct"/>
          <w:jc w:val="left"/>
          <w:tblCellMar>
            <w:top w:w="0" w:type="dxa"/>
            <w:left w:w="0" w:type="dxa"/>
            <w:bottom w:w="0" w:type="dxa"/>
            <w:right w:w="0" w:type="dxa"/>
          </w:tblCellMar>
        </w:tblPrEx>
        <w:trPr>
          <w:jc w:val="left"/>
        </w:trPr>
        <w:tc>
          <w:tcPr>
            <w:tcW w:w="32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9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uốn ván</w:t>
            </w:r>
          </w:p>
        </w:tc>
        <w:tc>
          <w:tcPr>
            <w:tcW w:w="95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uốn ván</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2 tháng tuổi.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ít nhất 1 tháng sau tiêm lần 2.</w:t>
            </w:r>
          </w:p>
          <w:p>
            <w:pPr>
              <w:bidi w:val="0"/>
              <w:spacing w:before="120" w:beforeAutospacing="0" w:after="280" w:afterAutospacing="1"/>
              <w:rPr>
                <w:rtl w:val="0"/>
              </w:rPr>
            </w:pPr>
            <w:r>
              <w:rPr>
                <w:rtl w:val="0"/>
              </w:rPr>
              <w:t>- Trường hợp tiêm chủng không đúng theo lịch thì tiến hành như sau:</w:t>
            </w:r>
          </w:p>
          <w:p>
            <w:pPr>
              <w:bidi w:val="0"/>
              <w:spacing w:before="120" w:beforeAutospacing="0" w:after="280" w:afterAutospacing="1"/>
              <w:rPr>
                <w:rtl w:val="0"/>
              </w:rPr>
            </w:pPr>
            <w:r>
              <w:rPr>
                <w:rtl w:val="0"/>
              </w:rPr>
              <w:t>+ Đối với trẻ dưới 12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280" w:afterAutospacing="1"/>
              <w:rPr>
                <w:rtl w:val="0"/>
              </w:rPr>
            </w:pPr>
            <w:r>
              <w:rPr>
                <w:rtl w:val="0"/>
              </w:rPr>
              <w:t>Tiêm lần 3: ít nhất 1 tháng sau tiêm lần 2.</w:t>
            </w:r>
          </w:p>
          <w:p>
            <w:pPr>
              <w:bidi w:val="0"/>
              <w:spacing w:before="120" w:beforeAutospacing="0" w:after="280" w:afterAutospacing="1"/>
              <w:rPr>
                <w:rtl w:val="0"/>
              </w:rPr>
            </w:pPr>
            <w:r>
              <w:rPr>
                <w:rtl w:val="0"/>
              </w:rPr>
              <w:t>+ Đối với trẻ từ 12 tháng tuổi trở lên</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0" w:afterAutospacing="0"/>
              <w:rPr>
                <w:rtl w:val="0"/>
              </w:rPr>
            </w:pPr>
            <w:r>
              <w:rPr>
                <w:rtl w:val="0"/>
              </w:rPr>
              <w:t>Tiêm lần 3: ít nhất 6 tháng sau tiêm lần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nhắc lại lần 1 khi trẻ đủ 18 tháng tuổi.</w:t>
            </w:r>
          </w:p>
          <w:p>
            <w:pPr>
              <w:bidi w:val="0"/>
              <w:spacing w:before="120" w:beforeAutospacing="0" w:after="0" w:afterAutospacing="0"/>
              <w:rPr>
                <w:rtl w:val="0"/>
              </w:rPr>
            </w:pPr>
            <w:r>
              <w:rPr>
                <w:rtl w:val="0"/>
              </w:rPr>
              <w:t>- Trường hợp tiêm chủng nhắc lại lần 1 không đúng theo lịch thì tiêm nhắc lại lần 1 khi trẻ từ 18 tháng tuổi trở lên cách ít nhất 6 tháng sau tiêm lần 3 và trước khi trẻ đủ 4 tuổi.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nhắc lại lần 2 khi trẻ đủ 7 tuổi.</w:t>
            </w:r>
          </w:p>
          <w:p>
            <w:pPr>
              <w:bidi w:val="0"/>
              <w:spacing w:before="120" w:beforeAutospacing="0" w:after="0" w:afterAutospacing="0"/>
              <w:rPr>
                <w:rtl w:val="0"/>
              </w:rPr>
            </w:pPr>
            <w:r>
              <w:rPr>
                <w:rtl w:val="0"/>
              </w:rPr>
              <w:t>- Trường hợp tiêm chủng nhắc lại lần 2 không đúng theo lịch thì tiêm nhắc lại lần 2 khi trẻ từ 7 tuổi trở lên cách ít nhất 4 năm sau tiêm nhắc lại lần 1.</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uốn ván cho phụ nữ có thai</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Phụ nữ có thai</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1. Đối với người chưa tiêm hoặc chưa tiêm đủ 3 lần vắc xin có chứa thành phần uốn ván liều cơ bản </w:t>
            </w:r>
            <w:r>
              <w:rPr>
                <w:i/>
                <w:iCs/>
                <w:rtl w:val="0"/>
              </w:rPr>
              <w:t>(là các liều tiêm trước khi đủ 1 tuổi)</w:t>
            </w:r>
            <w:r>
              <w:rPr>
                <w:rtl w:val="0"/>
              </w:rPr>
              <w:t>, hoặc không rõ tiền sử tiêm vắc xin:</w:t>
            </w:r>
          </w:p>
          <w:p>
            <w:pPr>
              <w:bidi w:val="0"/>
              <w:spacing w:before="120" w:beforeAutospacing="0" w:after="280" w:afterAutospacing="1"/>
              <w:rPr>
                <w:rtl w:val="0"/>
              </w:rPr>
            </w:pPr>
            <w:r>
              <w:rPr>
                <w:rtl w:val="0"/>
              </w:rPr>
              <w:t>- Tiêm lần 1: tiêm sớm khi có thai.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kỳ có thai lần sau và ít nhất 6 tháng sau tiêm lần 2.</w:t>
            </w:r>
          </w:p>
          <w:p>
            <w:pPr>
              <w:bidi w:val="0"/>
              <w:spacing w:before="120" w:beforeAutospacing="0" w:after="280" w:afterAutospacing="1"/>
              <w:rPr>
                <w:rtl w:val="0"/>
              </w:rPr>
            </w:pPr>
            <w:r>
              <w:rPr>
                <w:rtl w:val="0"/>
              </w:rPr>
              <w:t>- Tiêm lần 4: kỳ có thai lần sau và ít nhất 1 năm sau tiêm lần 3.</w:t>
            </w:r>
          </w:p>
          <w:p>
            <w:pPr>
              <w:bidi w:val="0"/>
              <w:spacing w:before="120" w:beforeAutospacing="0" w:after="280" w:afterAutospacing="1"/>
              <w:rPr>
                <w:rtl w:val="0"/>
              </w:rPr>
            </w:pPr>
            <w:r>
              <w:rPr>
                <w:rtl w:val="0"/>
              </w:rPr>
              <w:t>- Tiêm lần 5: kỳ có thai lần sau và ít nhất 1 năm sau tiêm lần 4.</w:t>
            </w:r>
          </w:p>
          <w:p>
            <w:pPr>
              <w:bidi w:val="0"/>
              <w:spacing w:before="120" w:beforeAutospacing="0" w:after="280" w:afterAutospacing="1"/>
              <w:rPr>
                <w:rtl w:val="0"/>
              </w:rPr>
            </w:pPr>
            <w:r>
              <w:rPr>
                <w:rtl w:val="0"/>
              </w:rPr>
              <w:t>2. Đối với người đã tiêm đủ 3 lần vắc xin có chứa thành phần uốn ván liều cơ bản:</w:t>
            </w:r>
          </w:p>
          <w:p>
            <w:pPr>
              <w:bidi w:val="0"/>
              <w:spacing w:before="120" w:beforeAutospacing="0" w:after="280" w:afterAutospacing="1"/>
              <w:rPr>
                <w:rtl w:val="0"/>
              </w:rPr>
            </w:pPr>
            <w:r>
              <w:rPr>
                <w:rtl w:val="0"/>
              </w:rPr>
              <w:t>- Tiêm lần 1: tiêm sớm khi có thai.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kỳ có thai lần sau và ít nhất 1 năm sau tiêm lần 2.</w:t>
            </w:r>
          </w:p>
          <w:p>
            <w:pPr>
              <w:bidi w:val="0"/>
              <w:spacing w:before="120" w:beforeAutospacing="0" w:after="280" w:afterAutospacing="1"/>
              <w:rPr>
                <w:rtl w:val="0"/>
              </w:rPr>
            </w:pPr>
            <w:r>
              <w:rPr>
                <w:rtl w:val="0"/>
              </w:rPr>
              <w:t>3. Đối với người đã tiêm đủ 3 lần vắc xin có chứa thành phần uốn ván liều cơ bản và 1 liều nhắc lại:</w:t>
            </w:r>
          </w:p>
          <w:p>
            <w:pPr>
              <w:bidi w:val="0"/>
              <w:spacing w:before="120" w:beforeAutospacing="0" w:after="280" w:afterAutospacing="1"/>
              <w:rPr>
                <w:rtl w:val="0"/>
              </w:rPr>
            </w:pPr>
            <w:r>
              <w:rPr>
                <w:rtl w:val="0"/>
              </w:rPr>
              <w:t>- Tiêm lần 1: tiêm sớm khi có thai.</w:t>
            </w:r>
          </w:p>
          <w:p>
            <w:pPr>
              <w:bidi w:val="0"/>
              <w:spacing w:before="120" w:beforeAutospacing="0" w:after="280" w:afterAutospacing="1"/>
              <w:rPr>
                <w:rtl w:val="0"/>
              </w:rPr>
            </w:pPr>
            <w:r>
              <w:rPr>
                <w:rtl w:val="0"/>
              </w:rPr>
              <w:t>- Tiêm lần 2: kỳ có thai lần sau và ít nhất 1 năm sau tiêm lần 1.</w:t>
            </w:r>
          </w:p>
          <w:p>
            <w:pPr>
              <w:bidi w:val="0"/>
              <w:spacing w:before="120" w:beforeAutospacing="0" w:after="280" w:afterAutospacing="1"/>
              <w:rPr>
                <w:rtl w:val="0"/>
              </w:rPr>
            </w:pPr>
            <w:r>
              <w:rPr>
                <w:rtl w:val="0"/>
              </w:rPr>
              <w:t>4. Đối với người đã tiêm đủ 3 lần vắc xin có chứa thành phần uốn ván liều cơ bản và 2 liều nhắc lại: tiêm sớm 1 lần khi có thai.</w:t>
            </w:r>
          </w:p>
          <w:p>
            <w:pPr>
              <w:bidi w:val="0"/>
              <w:spacing w:before="120" w:beforeAutospacing="0" w:after="0" w:afterAutospacing="0"/>
              <w:rPr>
                <w:rtl w:val="0"/>
              </w:rPr>
            </w:pPr>
            <w:r>
              <w:rPr>
                <w:rtl w:val="0"/>
              </w:rPr>
              <w:t>Trong tất cả 4 tình huống nêu trên, mũi tiêm sau cùng trước ngày dự kiến sinh tối thiểu 2 tuần.</w:t>
            </w:r>
          </w:p>
        </w:tc>
      </w:tr>
      <w:tr>
        <w:tblPrEx>
          <w:tblW w:w="5000" w:type="pct"/>
          <w:jc w:val="left"/>
          <w:tblCellMar>
            <w:top w:w="0" w:type="dxa"/>
            <w:left w:w="0" w:type="dxa"/>
            <w:bottom w:w="0" w:type="dxa"/>
            <w:right w:w="0" w:type="dxa"/>
          </w:tblCellMar>
        </w:tblPrEx>
        <w:trPr>
          <w:jc w:val="left"/>
        </w:trPr>
        <w:tc>
          <w:tcPr>
            <w:tcW w:w="32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bại liệt</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bại liệt uống</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Uống lần 1: khi trẻ đủ 2 tháng tuổi.</w:t>
            </w:r>
          </w:p>
          <w:p>
            <w:pPr>
              <w:bidi w:val="0"/>
              <w:spacing w:before="120" w:beforeAutospacing="0" w:after="280" w:afterAutospacing="1"/>
              <w:rPr>
                <w:rtl w:val="0"/>
              </w:rPr>
            </w:pPr>
            <w:r>
              <w:rPr>
                <w:rtl w:val="0"/>
              </w:rPr>
              <w:t>- Uống lần 2: ít nhất 1 tháng sau uống lần 1.</w:t>
            </w:r>
          </w:p>
          <w:p>
            <w:pPr>
              <w:bidi w:val="0"/>
              <w:spacing w:before="120" w:beforeAutospacing="0" w:after="280" w:afterAutospacing="1"/>
              <w:rPr>
                <w:rtl w:val="0"/>
              </w:rPr>
            </w:pPr>
            <w:r>
              <w:rPr>
                <w:rtl w:val="0"/>
              </w:rPr>
              <w:t>- Uống lần 3: ít nhất 1 tháng sau uống lần 2.</w:t>
            </w:r>
          </w:p>
          <w:p>
            <w:pPr>
              <w:bidi w:val="0"/>
              <w:spacing w:before="120" w:beforeAutospacing="0" w:after="280" w:afterAutospacing="1"/>
              <w:rPr>
                <w:rtl w:val="0"/>
              </w:rPr>
            </w:pPr>
            <w:r>
              <w:rPr>
                <w:rtl w:val="0"/>
              </w:rPr>
              <w:t>- Trường hợp uống vắc xin không đúng theo lịch thì tiến hành như sau:</w:t>
            </w:r>
          </w:p>
          <w:p>
            <w:pPr>
              <w:bidi w:val="0"/>
              <w:spacing w:before="120" w:beforeAutospacing="0" w:after="280" w:afterAutospacing="1"/>
              <w:rPr>
                <w:rtl w:val="0"/>
              </w:rPr>
            </w:pPr>
            <w:r>
              <w:rPr>
                <w:rtl w:val="0"/>
              </w:rPr>
              <w:t>Uống lần 1: ngay khi có thể.</w:t>
            </w:r>
          </w:p>
          <w:p>
            <w:pPr>
              <w:bidi w:val="0"/>
              <w:spacing w:before="120" w:beforeAutospacing="0" w:after="280" w:afterAutospacing="1"/>
              <w:rPr>
                <w:rtl w:val="0"/>
              </w:rPr>
            </w:pPr>
            <w:r>
              <w:rPr>
                <w:rtl w:val="0"/>
              </w:rPr>
              <w:t>Uống lần 2: ít nhất 1 tháng sau uống lần 1.</w:t>
            </w:r>
          </w:p>
          <w:p>
            <w:pPr>
              <w:bidi w:val="0"/>
              <w:spacing w:before="120" w:beforeAutospacing="0" w:after="0" w:afterAutospacing="0"/>
              <w:rPr>
                <w:rtl w:val="0"/>
              </w:rPr>
            </w:pPr>
            <w:r>
              <w:rPr>
                <w:rtl w:val="0"/>
              </w:rPr>
              <w:t>Uống lần 3: ít nhất 1 tháng sau uống lần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bại liệt tiêm</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5 tháng tuổi.</w:t>
            </w:r>
          </w:p>
          <w:p>
            <w:pPr>
              <w:bidi w:val="0"/>
              <w:spacing w:before="120" w:beforeAutospacing="0" w:after="280" w:afterAutospacing="1"/>
              <w:rPr>
                <w:rtl w:val="0"/>
              </w:rPr>
            </w:pPr>
            <w:r>
              <w:rPr>
                <w:rtl w:val="0"/>
              </w:rPr>
              <w:t>- Tiêm lần 2: khi trẻ đủ 9 tháng tuổi.</w:t>
            </w:r>
          </w:p>
          <w:p>
            <w:pPr>
              <w:bidi w:val="0"/>
              <w:spacing w:before="120" w:beforeAutospacing="0" w:after="280" w:afterAutospacing="1"/>
              <w:rPr>
                <w:rtl w:val="0"/>
              </w:rPr>
            </w:pPr>
            <w:r>
              <w:rPr>
                <w:rtl w:val="0"/>
              </w:rPr>
              <w:t>- Trường hợp tiêm chủng không đúng theo lịch thì tiến hành như sau: Tiêm lần 1: ngay khi có thể.</w:t>
            </w:r>
          </w:p>
          <w:p>
            <w:pPr>
              <w:bidi w:val="0"/>
              <w:spacing w:before="120" w:beforeAutospacing="0" w:after="0" w:afterAutospacing="0"/>
              <w:rPr>
                <w:rtl w:val="0"/>
              </w:rPr>
            </w:pPr>
            <w:r>
              <w:rPr>
                <w:rtl w:val="0"/>
              </w:rPr>
              <w:t>Tiêm lần 2: khi trẻ từ 9 tháng tuổi trở lên và cách ít nhất 1 tháng sau tiêm lần 1.</w:t>
            </w:r>
          </w:p>
        </w:tc>
      </w:tr>
      <w:tr>
        <w:tblPrEx>
          <w:tblW w:w="5000" w:type="pct"/>
          <w:jc w:val="left"/>
          <w:tblCellMar>
            <w:top w:w="0" w:type="dxa"/>
            <w:left w:w="0" w:type="dxa"/>
            <w:bottom w:w="0" w:type="dxa"/>
            <w:right w:w="0" w:type="dxa"/>
          </w:tblCellMar>
        </w:tblPrEx>
        <w:trPr>
          <w:jc w:val="left"/>
        </w:trPr>
        <w:tc>
          <w:tcPr>
            <w:tcW w:w="3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9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do Haemophilus influenzae týp b</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Haemophilus influenzae týp b đơn giá hoặc vắc xin phối hợp có chứa thành phần Haemophilus influenzae týp b</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2 tháng tuổi.</w:t>
            </w:r>
          </w:p>
          <w:p>
            <w:pPr>
              <w:bidi w:val="0"/>
              <w:spacing w:before="120" w:beforeAutospacing="0" w:after="280" w:afterAutospacing="1"/>
              <w:rPr>
                <w:rtl w:val="0"/>
              </w:rPr>
            </w:pPr>
            <w:r>
              <w:rPr>
                <w:rtl w:val="0"/>
              </w:rPr>
              <w:t>- Tiêm lần 2: ít nhất 1 tháng sau tiêm lần 1.</w:t>
            </w:r>
          </w:p>
          <w:p>
            <w:pPr>
              <w:bidi w:val="0"/>
              <w:spacing w:before="120" w:beforeAutospacing="0" w:after="280" w:afterAutospacing="1"/>
              <w:rPr>
                <w:rtl w:val="0"/>
              </w:rPr>
            </w:pPr>
            <w:r>
              <w:rPr>
                <w:rtl w:val="0"/>
              </w:rPr>
              <w:t>- Tiêm lần 3: ít nhất 1 tháng sau tiêm lần 2.</w:t>
            </w:r>
          </w:p>
          <w:p>
            <w:pPr>
              <w:bidi w:val="0"/>
              <w:spacing w:before="120" w:beforeAutospacing="0" w:after="280" w:afterAutospacing="1"/>
              <w:rPr>
                <w:rtl w:val="0"/>
              </w:rPr>
            </w:pPr>
            <w:r>
              <w:rPr>
                <w:rtl w:val="0"/>
              </w:rPr>
              <w:t>- Trường hợp tiêm chủng không đúng theo lịch thì tiến hành như sau:</w:t>
            </w:r>
          </w:p>
          <w:p>
            <w:pPr>
              <w:bidi w:val="0"/>
              <w:spacing w:before="120" w:beforeAutospacing="0" w:after="280" w:afterAutospacing="1"/>
              <w:rPr>
                <w:rtl w:val="0"/>
              </w:rPr>
            </w:pPr>
            <w:r>
              <w:rPr>
                <w:rtl w:val="0"/>
              </w:rPr>
              <w:t>+ Đối với trẻ dưới 12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280" w:afterAutospacing="1"/>
              <w:rPr>
                <w:rtl w:val="0"/>
              </w:rPr>
            </w:pPr>
            <w:r>
              <w:rPr>
                <w:rtl w:val="0"/>
              </w:rPr>
              <w:t>Tiêm lần 3: ít nhất 1 tháng sau tiêm lần 2.</w:t>
            </w:r>
          </w:p>
          <w:p>
            <w:pPr>
              <w:bidi w:val="0"/>
              <w:spacing w:before="120" w:beforeAutospacing="0" w:after="280" w:afterAutospacing="1"/>
              <w:rPr>
                <w:rtl w:val="0"/>
              </w:rPr>
            </w:pPr>
            <w:r>
              <w:rPr>
                <w:rtl w:val="0"/>
              </w:rPr>
              <w:t>+ Đối với trẻ từ 12 tháng tuổi trở lên đến dưới 18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1 tháng sau tiêm lần 1.</w:t>
            </w:r>
          </w:p>
          <w:p>
            <w:pPr>
              <w:bidi w:val="0"/>
              <w:spacing w:before="120" w:beforeAutospacing="0" w:after="280" w:afterAutospacing="1"/>
              <w:rPr>
                <w:rtl w:val="0"/>
              </w:rPr>
            </w:pPr>
            <w:r>
              <w:rPr>
                <w:rtl w:val="0"/>
              </w:rPr>
              <w:t>Tiêm lần 3: ít nhất 6 tháng sau tiêm lần 2.</w:t>
            </w:r>
          </w:p>
          <w:p>
            <w:pPr>
              <w:bidi w:val="0"/>
              <w:spacing w:before="120" w:beforeAutospacing="0" w:after="0" w:afterAutospacing="0"/>
              <w:rPr>
                <w:rtl w:val="0"/>
              </w:rPr>
            </w:pPr>
            <w:r>
              <w:rPr>
                <w:rtl w:val="0"/>
              </w:rPr>
              <w:t>+ Đối với trẻ từ 18 tháng tuổi: tiêm 1 lần ngay khi có thể nếu trẻ chưa được tiêm chủng vắc xin này và trước khi trẻ đủ 5 tuổi.</w:t>
            </w:r>
          </w:p>
        </w:tc>
      </w:tr>
      <w:tr>
        <w:tblPrEx>
          <w:tblW w:w="5000" w:type="pct"/>
          <w:jc w:val="left"/>
          <w:tblCellMar>
            <w:top w:w="0" w:type="dxa"/>
            <w:left w:w="0" w:type="dxa"/>
            <w:bottom w:w="0" w:type="dxa"/>
            <w:right w:w="0" w:type="dxa"/>
          </w:tblCellMar>
        </w:tblPrEx>
        <w:trPr>
          <w:jc w:val="left"/>
        </w:trPr>
        <w:tc>
          <w:tcPr>
            <w:tcW w:w="32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9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sởi</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sởi đơn giá</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khi trẻ đủ 9 tháng tuổi.</w:t>
            </w:r>
          </w:p>
          <w:p>
            <w:pPr>
              <w:bidi w:val="0"/>
              <w:spacing w:before="120" w:beforeAutospacing="0" w:after="0" w:afterAutospacing="0"/>
              <w:rPr>
                <w:rtl w:val="0"/>
              </w:rPr>
            </w:pPr>
            <w:r>
              <w:rPr>
                <w:rtl w:val="0"/>
              </w:rPr>
              <w:t>- Trường hợp tiêm chủng không đúng theo lịch thì tiêm ngay khi có thể.</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sởi</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nhắc lại khi trẻ đủ 18 tháng tuổi.</w:t>
            </w:r>
          </w:p>
          <w:p>
            <w:pPr>
              <w:bidi w:val="0"/>
              <w:spacing w:before="120" w:beforeAutospacing="0" w:after="0" w:afterAutospacing="0"/>
              <w:rPr>
                <w:rtl w:val="0"/>
              </w:rPr>
            </w:pPr>
            <w:r>
              <w:rPr>
                <w:rtl w:val="0"/>
              </w:rPr>
              <w:t>- Trường hợp tiêm chủng nhắc lại không đúng theo lịch thì tiêm nhắc lại ngay khi có thể khi trẻ từ 18 tháng tuổi trở lên cách lần tiêm vắc xin có chứa thành phần sởi trước đó ít nhất 1 tháng.</w:t>
            </w:r>
          </w:p>
        </w:tc>
      </w:tr>
      <w:tr>
        <w:tblPrEx>
          <w:tblW w:w="5000" w:type="pct"/>
          <w:jc w:val="left"/>
          <w:tblCellMar>
            <w:top w:w="0" w:type="dxa"/>
            <w:left w:w="0" w:type="dxa"/>
            <w:bottom w:w="0" w:type="dxa"/>
            <w:right w:w="0" w:type="dxa"/>
          </w:tblCellMar>
        </w:tblPrEx>
        <w:trPr>
          <w:jc w:val="left"/>
        </w:trPr>
        <w:tc>
          <w:tcPr>
            <w:tcW w:w="3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9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Ru-bê- ôn (Bệnh rubella)</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rubella</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khi trẻ đủ 18 tháng tuổi.</w:t>
            </w:r>
          </w:p>
          <w:p>
            <w:pPr>
              <w:bidi w:val="0"/>
              <w:spacing w:before="120" w:beforeAutospacing="0" w:after="0" w:afterAutospacing="0"/>
              <w:rPr>
                <w:rtl w:val="0"/>
              </w:rPr>
            </w:pPr>
            <w:r>
              <w:rPr>
                <w:rtl w:val="0"/>
              </w:rPr>
              <w:t>- Trường hợp tiêm chủng không đúng theo lịch thì tiêm ngay khi có thể khi trẻ từ 18 tháng tuổi trở lên.</w:t>
            </w:r>
          </w:p>
        </w:tc>
      </w:tr>
      <w:tr>
        <w:tblPrEx>
          <w:tblW w:w="5000" w:type="pct"/>
          <w:jc w:val="left"/>
          <w:tblCellMar>
            <w:top w:w="0" w:type="dxa"/>
            <w:left w:w="0" w:type="dxa"/>
            <w:bottom w:w="0" w:type="dxa"/>
            <w:right w:w="0" w:type="dxa"/>
          </w:tblCellMar>
        </w:tblPrEx>
        <w:trPr>
          <w:jc w:val="left"/>
        </w:trPr>
        <w:tc>
          <w:tcPr>
            <w:tcW w:w="3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9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viêm não vi rút (bắt buộc đối với bệnh viêm não Nhật Bản)</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viêm não Nhật Bản</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1 tuổi.</w:t>
            </w:r>
          </w:p>
          <w:p>
            <w:pPr>
              <w:bidi w:val="0"/>
              <w:spacing w:before="120" w:beforeAutospacing="0" w:after="280" w:afterAutospacing="1"/>
              <w:rPr>
                <w:rtl w:val="0"/>
              </w:rPr>
            </w:pPr>
            <w:r>
              <w:rPr>
                <w:rtl w:val="0"/>
              </w:rPr>
              <w:t>- Tiêm lần 2: 1 - 2 tuần sau tiêm lần 1.</w:t>
            </w:r>
          </w:p>
          <w:p>
            <w:pPr>
              <w:bidi w:val="0"/>
              <w:spacing w:before="120" w:beforeAutospacing="0" w:after="280" w:afterAutospacing="1"/>
              <w:rPr>
                <w:rtl w:val="0"/>
              </w:rPr>
            </w:pPr>
            <w:r>
              <w:rPr>
                <w:rtl w:val="0"/>
              </w:rPr>
              <w:t>- Tiêm lần 3: 1 năm sau tiêm lần 1.</w:t>
            </w:r>
          </w:p>
          <w:p>
            <w:pPr>
              <w:bidi w:val="0"/>
              <w:spacing w:before="120" w:beforeAutospacing="0" w:after="280" w:afterAutospacing="1"/>
              <w:rPr>
                <w:rtl w:val="0"/>
              </w:rPr>
            </w:pPr>
            <w:r>
              <w:rPr>
                <w:rtl w:val="0"/>
              </w:rPr>
              <w:t>- Trường hợp tiêm chủng không đúng theo lịch thì tiến hành như sau:</w:t>
            </w:r>
          </w:p>
          <w:p>
            <w:pPr>
              <w:bidi w:val="0"/>
              <w:spacing w:before="120" w:beforeAutospacing="0" w:after="280" w:afterAutospacing="1"/>
              <w:rPr>
                <w:rtl w:val="0"/>
              </w:rPr>
            </w:pPr>
            <w:r>
              <w:rPr>
                <w:rtl w:val="0"/>
              </w:rPr>
              <w:t>+ Tiêm lần 1: ngay khi có thể.</w:t>
            </w:r>
          </w:p>
          <w:p>
            <w:pPr>
              <w:bidi w:val="0"/>
              <w:spacing w:before="120" w:beforeAutospacing="0" w:after="280" w:afterAutospacing="1"/>
              <w:rPr>
                <w:rtl w:val="0"/>
              </w:rPr>
            </w:pPr>
            <w:r>
              <w:rPr>
                <w:rtl w:val="0"/>
              </w:rPr>
              <w:t>+ Tiêm lần 2: 1 - 2 tuần sau tiêm lần 1.</w:t>
            </w:r>
          </w:p>
          <w:p>
            <w:pPr>
              <w:bidi w:val="0"/>
              <w:spacing w:before="120" w:beforeAutospacing="0" w:after="0" w:afterAutospacing="0"/>
              <w:rPr>
                <w:rtl w:val="0"/>
              </w:rPr>
            </w:pPr>
            <w:r>
              <w:rPr>
                <w:rtl w:val="0"/>
              </w:rPr>
              <w:t>+ Tiêm lần 3: cách lần 1 ít nhất 1 năm và cách lần 2 ít nhất 1 tháng.</w:t>
            </w:r>
          </w:p>
        </w:tc>
      </w:tr>
      <w:tr>
        <w:tblPrEx>
          <w:tblW w:w="5000" w:type="pct"/>
          <w:jc w:val="left"/>
          <w:tblCellMar>
            <w:top w:w="0" w:type="dxa"/>
            <w:left w:w="0" w:type="dxa"/>
            <w:bottom w:w="0" w:type="dxa"/>
            <w:right w:w="0" w:type="dxa"/>
          </w:tblCellMar>
        </w:tblPrEx>
        <w:trPr>
          <w:jc w:val="left"/>
        </w:trPr>
        <w:tc>
          <w:tcPr>
            <w:tcW w:w="3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9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tiêu chảy do vi rút Rota</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Rota</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Uống lần 1: khi trẻ đủ 2 tháng tuổi</w:t>
            </w:r>
          </w:p>
          <w:p>
            <w:pPr>
              <w:bidi w:val="0"/>
              <w:spacing w:before="120" w:beforeAutospacing="0" w:after="280" w:afterAutospacing="1"/>
              <w:rPr>
                <w:rtl w:val="0"/>
              </w:rPr>
            </w:pPr>
            <w:r>
              <w:rPr>
                <w:rtl w:val="0"/>
              </w:rPr>
              <w:t>- Uống lần 2: ít nhất 1 tháng sau uống lần 1.</w:t>
            </w:r>
          </w:p>
          <w:p>
            <w:pPr>
              <w:bidi w:val="0"/>
              <w:spacing w:before="120" w:beforeAutospacing="0" w:after="280" w:afterAutospacing="1"/>
              <w:rPr>
                <w:rtl w:val="0"/>
              </w:rPr>
            </w:pPr>
            <w:r>
              <w:rPr>
                <w:rtl w:val="0"/>
              </w:rPr>
              <w:t>- Trường hợp tiêm chủng không đúng theo lịch thì tiến hành như sau: Uống lần 1: ngay khi có thể khi trẻ từ 2 tháng tuổi trở lên.</w:t>
            </w:r>
          </w:p>
          <w:p>
            <w:pPr>
              <w:bidi w:val="0"/>
              <w:spacing w:before="120" w:beforeAutospacing="0" w:after="0" w:afterAutospacing="0"/>
              <w:rPr>
                <w:rtl w:val="0"/>
              </w:rPr>
            </w:pPr>
            <w:r>
              <w:rPr>
                <w:rtl w:val="0"/>
              </w:rPr>
              <w:t>Uống lần 2: ít nhất 1 tháng sau uống lần 1 và trước khi trẻ đủ 6 tháng tuổi</w:t>
            </w:r>
          </w:p>
        </w:tc>
      </w:tr>
      <w:tr>
        <w:tblPrEx>
          <w:tblW w:w="5000" w:type="pct"/>
          <w:jc w:val="left"/>
          <w:tblCellMar>
            <w:top w:w="0" w:type="dxa"/>
            <w:left w:w="0" w:type="dxa"/>
            <w:bottom w:w="0" w:type="dxa"/>
            <w:right w:w="0" w:type="dxa"/>
          </w:tblCellMar>
        </w:tblPrEx>
        <w:trPr>
          <w:jc w:val="left"/>
        </w:trPr>
        <w:tc>
          <w:tcPr>
            <w:tcW w:w="3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9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do phế cầu</w:t>
            </w:r>
          </w:p>
        </w:tc>
        <w:tc>
          <w:tcPr>
            <w:tcW w:w="9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phế cầu</w:t>
            </w:r>
          </w:p>
        </w:tc>
        <w:tc>
          <w:tcPr>
            <w:tcW w:w="4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Trẻ em</w:t>
            </w:r>
          </w:p>
        </w:tc>
        <w:tc>
          <w:tcPr>
            <w:tcW w:w="2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Tiêm lần 1: khi trẻ đủ 2 tháng tuổi.</w:t>
            </w:r>
          </w:p>
          <w:p>
            <w:pPr>
              <w:bidi w:val="0"/>
              <w:spacing w:before="120" w:beforeAutospacing="0" w:after="280" w:afterAutospacing="1"/>
              <w:rPr>
                <w:rtl w:val="0"/>
              </w:rPr>
            </w:pPr>
            <w:r>
              <w:rPr>
                <w:rtl w:val="0"/>
              </w:rPr>
              <w:t>- Tiêm lần 2: ít nhất 2 tháng sau tiêm lần 1.</w:t>
            </w:r>
          </w:p>
          <w:p>
            <w:pPr>
              <w:bidi w:val="0"/>
              <w:spacing w:before="120" w:beforeAutospacing="0" w:after="280" w:afterAutospacing="1"/>
              <w:rPr>
                <w:rtl w:val="0"/>
              </w:rPr>
            </w:pPr>
            <w:r>
              <w:rPr>
                <w:rtl w:val="0"/>
              </w:rPr>
              <w:t>- Trường hợp tiêm chủng không đúng theo lịch thì tiến hành như sau:</w:t>
            </w:r>
          </w:p>
          <w:p>
            <w:pPr>
              <w:bidi w:val="0"/>
              <w:spacing w:before="120" w:beforeAutospacing="0" w:after="280" w:afterAutospacing="1"/>
              <w:rPr>
                <w:rtl w:val="0"/>
              </w:rPr>
            </w:pPr>
            <w:r>
              <w:rPr>
                <w:rtl w:val="0"/>
              </w:rPr>
              <w:t>+ Đối với trẻ dưới 12 tháng tuổi.</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2 tháng sau tiêm lần 1.</w:t>
            </w:r>
          </w:p>
          <w:p>
            <w:pPr>
              <w:bidi w:val="0"/>
              <w:spacing w:before="120" w:beforeAutospacing="0" w:after="280" w:afterAutospacing="1"/>
              <w:rPr>
                <w:rtl w:val="0"/>
              </w:rPr>
            </w:pPr>
            <w:r>
              <w:rPr>
                <w:rtl w:val="0"/>
              </w:rPr>
              <w:t>+ Đối với trẻ từ 12 đến dưới 24 tháng tuổi chưa tiêm vắc xin phế cầu trước đó thì tiêm 2 liều:</w:t>
            </w:r>
          </w:p>
          <w:p>
            <w:pPr>
              <w:bidi w:val="0"/>
              <w:spacing w:before="120" w:beforeAutospacing="0" w:after="280" w:afterAutospacing="1"/>
              <w:rPr>
                <w:rtl w:val="0"/>
              </w:rPr>
            </w:pPr>
            <w:r>
              <w:rPr>
                <w:rtl w:val="0"/>
              </w:rPr>
              <w:t>Tiêm lần 1: ngay khi có thể.</w:t>
            </w:r>
          </w:p>
          <w:p>
            <w:pPr>
              <w:bidi w:val="0"/>
              <w:spacing w:before="120" w:beforeAutospacing="0" w:after="280" w:afterAutospacing="1"/>
              <w:rPr>
                <w:rtl w:val="0"/>
              </w:rPr>
            </w:pPr>
            <w:r>
              <w:rPr>
                <w:rtl w:val="0"/>
              </w:rPr>
              <w:t>Tiêm lần 2: ít nhất 2 tháng sau tiêm lần 1.</w:t>
            </w:r>
          </w:p>
          <w:p>
            <w:pPr>
              <w:bidi w:val="0"/>
              <w:spacing w:before="120" w:beforeAutospacing="0" w:after="0" w:afterAutospacing="0"/>
              <w:rPr>
                <w:rtl w:val="0"/>
              </w:rPr>
            </w:pPr>
            <w:r>
              <w:rPr>
                <w:rtl w:val="0"/>
              </w:rPr>
              <w:t>+ Đối với trẻ từ 24 tháng tuổi trở lên chưa tiêm vắc xin phế cầu trước đó thì tiêm 1 liều ngay khi có thể và trước khi trẻ đủ 5 tuổi.</w:t>
            </w:r>
          </w:p>
        </w:tc>
      </w:tr>
    </w:tbl>
    <w:p>
      <w:pPr>
        <w:bidi w:val="0"/>
        <w:spacing w:before="120" w:beforeAutospacing="0" w:after="280" w:afterAutospacing="1"/>
      </w:pPr>
      <w:r>
        <w:rPr>
          <w:i/>
          <w:iCs/>
          <w:rtl w:val="0"/>
        </w:rPr>
        <w:t>(*) Khoảng cách giữa các lần tiêm chủng mỗi 1 tháng được tính ít nhất là 28 ngày.</w:t>
      </w:r>
    </w:p>
    <w:p>
      <w:pPr>
        <w:bidi w:val="0"/>
        <w:spacing w:before="120" w:beforeAutospacing="0" w:after="280" w:afterAutospacing="1"/>
      </w:pPr>
      <w:bookmarkStart w:id="5" w:name="dieu_2"/>
      <w:r>
        <w:rPr>
          <w:b/>
          <w:bCs/>
          <w:rtl w:val="0"/>
        </w:rPr>
        <w:t>Điều 2. Danh mục bệnh truyền nhiễm, đối tượng phải sử dụng vắc xin, sinh phẩm y tế bắt buộc đối với người có nguy cơ mắc bệnh truyền nhiễm tại vùng có dịch và đến vùng có dịch</w:t>
      </w:r>
      <w:bookmarkEnd w:id="5"/>
    </w:p>
    <w:p>
      <w:pPr>
        <w:bidi w:val="0"/>
        <w:spacing w:before="120" w:beforeAutospacing="0" w:after="280" w:afterAutospacing="1"/>
      </w:pPr>
      <w:r>
        <w:rPr>
          <w:rtl w:val="0"/>
        </w:rPr>
        <w:t>1. Danh mục bệnh truyền nhiễm và vắc xin, sinh phẩm y tế bắt buộc phải sử dụng đối với người có nguy cơ mắc bệnh truyền nhiễm tại vùng có dịch và đến vùng có dịch:</w:t>
      </w:r>
    </w:p>
    <w:tbl>
      <w:tblPr>
        <w:tblW w:w="5000" w:type="pct"/>
        <w:jc w:val="left"/>
        <w:tblCellMar>
          <w:top w:w="0" w:type="dxa"/>
          <w:left w:w="0" w:type="dxa"/>
          <w:bottom w:w="0" w:type="dxa"/>
          <w:right w:w="0" w:type="dxa"/>
        </w:tblCellMar>
      </w:tblPr>
      <w:tblGrid>
        <w:gridCol w:w="655"/>
        <w:gridCol w:w="3335"/>
        <w:gridCol w:w="4650"/>
      </w:tblGrid>
      <w:tr>
        <w:tblPrEx>
          <w:tblW w:w="5000" w:type="pct"/>
          <w:jc w:val="left"/>
          <w:tblCellMar>
            <w:top w:w="0" w:type="dxa"/>
            <w:left w:w="0" w:type="dxa"/>
            <w:bottom w:w="0" w:type="dxa"/>
            <w:right w:w="0" w:type="dxa"/>
          </w:tblCellMar>
        </w:tblPrEx>
        <w:trPr>
          <w:jc w:val="left"/>
        </w:trPr>
        <w:tc>
          <w:tcPr>
            <w:tcW w:w="37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9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bệnh truyền nhiễm</w:t>
            </w:r>
          </w:p>
        </w:tc>
        <w:tc>
          <w:tcPr>
            <w:tcW w:w="26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Vắc xin, sinh phẩm y tế</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bạch hầu</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bạch hầu, huyết thanh kháng độc tố bạch hầu</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bại liệt</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bại liệt hoặc vắc xin phối hợp có chứa thành phần bại liệt</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ho gà</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ho gà</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Ru-bê-ôn (Bệnh rubella)</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phối hợp có chứa thành phần rubella</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sởi</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sởi đơn giá hoặc vắc xin phối hợp có chứa thành phần sởi</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tả</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tả</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viêm não vi rút (bắt buộc đối với bệnh viêm não Nhật Bản)</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viêm não Nhật Bản</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dại</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dại, huyết thanh kháng dại</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cúm</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cúm</w:t>
            </w:r>
          </w:p>
        </w:tc>
      </w:tr>
      <w:tr>
        <w:tblPrEx>
          <w:tblW w:w="5000" w:type="pct"/>
          <w:jc w:val="left"/>
          <w:tblCellMar>
            <w:top w:w="0" w:type="dxa"/>
            <w:left w:w="0" w:type="dxa"/>
            <w:bottom w:w="0" w:type="dxa"/>
            <w:right w:w="0" w:type="dxa"/>
          </w:tblCellMar>
        </w:tblPrEx>
        <w:trPr>
          <w:jc w:val="left"/>
        </w:trPr>
        <w:tc>
          <w:tcPr>
            <w:tcW w:w="3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Bệnh COVID-19</w:t>
            </w:r>
          </w:p>
        </w:tc>
        <w:tc>
          <w:tcPr>
            <w:tcW w:w="26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Vắc xin phòng COVID-19</w:t>
            </w:r>
          </w:p>
        </w:tc>
      </w:tr>
    </w:tbl>
    <w:p>
      <w:pPr>
        <w:bidi w:val="0"/>
        <w:spacing w:before="120" w:beforeAutospacing="0" w:after="280" w:afterAutospacing="1"/>
      </w:pPr>
      <w:r>
        <w:rPr>
          <w:rtl w:val="0"/>
        </w:rPr>
        <w:t>2. Việc xác định đối tượng phải sử dụng vắc xin, sinh phẩm y tế bắt buộc đối với người có nguy cơ mắc bệnh truyền nhiễm tại vùng có dịch và đến vùng có dịch thuộc danh mục quy định tại khoản 1 Điều này do Ủy ban nhân dân tỉnh, thành phố quyết định hoặc theo hướng dẫn của Bộ Y tế tùy theo tình hình dịch.</w:t>
      </w:r>
    </w:p>
    <w:p>
      <w:pPr>
        <w:bidi w:val="0"/>
        <w:spacing w:before="120" w:beforeAutospacing="0" w:after="280" w:afterAutospacing="1"/>
      </w:pPr>
      <w:bookmarkStart w:id="6" w:name="dieu_3"/>
      <w:r>
        <w:rPr>
          <w:b/>
          <w:bCs/>
          <w:rtl w:val="0"/>
        </w:rPr>
        <w:t>Điều 3. Phạm vi sử dụng vắc xin, sinh phẩm y tế bắt buộc</w:t>
      </w:r>
      <w:bookmarkEnd w:id="6"/>
    </w:p>
    <w:p>
      <w:pPr>
        <w:bidi w:val="0"/>
        <w:spacing w:before="120" w:beforeAutospacing="0" w:after="280" w:afterAutospacing="1"/>
      </w:pPr>
      <w:r>
        <w:rPr>
          <w:rtl w:val="0"/>
        </w:rPr>
        <w:t xml:space="preserve">1. Phạm vi sử dụng vắc xin bắt buộc thuộc danh mục quy định tại </w:t>
      </w:r>
      <w:bookmarkStart w:id="7" w:name="tc_1"/>
      <w:r>
        <w:rPr>
          <w:rtl w:val="0"/>
        </w:rPr>
        <w:t>Điều 1 Thông tư này</w:t>
      </w:r>
      <w:bookmarkEnd w:id="7"/>
      <w:r>
        <w:rPr>
          <w:rtl w:val="0"/>
        </w:rPr>
        <w:t xml:space="preserve"> được triển khai toàn quốc cho trẻ em, phụ nữ có thai trong Chương trình tiêm chủng mở rộng, trừ vắc xin phế cầu thực hiện theo quy định tại khoản 2 Điều này.</w:t>
      </w:r>
    </w:p>
    <w:p>
      <w:pPr>
        <w:bidi w:val="0"/>
        <w:spacing w:before="120" w:beforeAutospacing="0" w:after="280" w:afterAutospacing="1"/>
      </w:pPr>
      <w:r>
        <w:rPr>
          <w:rtl w:val="0"/>
        </w:rPr>
        <w:t xml:space="preserve">2. Phạm vi sử dụng vắc xin phế cầu thực hiện theo quy định tại Nghị quyết số </w:t>
      </w:r>
      <w:bookmarkStart w:id="8" w:name="tvpllink_djrowvjsvv"/>
      <w:r>
        <w:rPr>
          <w:rtl w:val="0"/>
        </w:rPr>
        <w:t>104/NQ-CP</w:t>
      </w:r>
      <w:bookmarkEnd w:id="8"/>
      <w:r>
        <w:rPr>
          <w:rtl w:val="0"/>
        </w:rPr>
        <w:t xml:space="preserve"> ngày 15 tháng 8 năm 2022 của Chính phủ về lộ trình tăng số lượng vắc xin trong Chương trình tiêm chủng mở rộng giai đoạn 2021-2030 và nguồn lực của trung ương, địa phương.</w:t>
      </w:r>
    </w:p>
    <w:p>
      <w:pPr>
        <w:bidi w:val="0"/>
        <w:spacing w:before="120" w:beforeAutospacing="0" w:after="280" w:afterAutospacing="1"/>
      </w:pPr>
      <w:r>
        <w:rPr>
          <w:rtl w:val="0"/>
        </w:rPr>
        <w:t xml:space="preserve">3. Phạm vi sử dụng vắc xin, sinh phẩm y tế bắt buộc thuộc danh mục quy định tại </w:t>
      </w:r>
      <w:bookmarkStart w:id="9" w:name="tc_2"/>
      <w:r>
        <w:rPr>
          <w:rtl w:val="0"/>
        </w:rPr>
        <w:t>khoản 1 Điều 2 Thông tư này</w:t>
      </w:r>
      <w:bookmarkEnd w:id="9"/>
      <w:r>
        <w:rPr>
          <w:rtl w:val="0"/>
        </w:rPr>
        <w:t xml:space="preserve"> do Ủy ban nhân dân tỉnh, thành phố quyết định hoặc theo hướng dẫn của Bộ Y tế tùy theo tình hình dịch.</w:t>
      </w:r>
    </w:p>
    <w:p>
      <w:pPr>
        <w:bidi w:val="0"/>
        <w:spacing w:before="120" w:beforeAutospacing="0" w:after="280" w:afterAutospacing="1"/>
      </w:pPr>
      <w:bookmarkStart w:id="10" w:name="dieu_4"/>
      <w:r>
        <w:rPr>
          <w:b/>
          <w:bCs/>
          <w:rtl w:val="0"/>
        </w:rPr>
        <w:t>Điều 4. Hiệu lực thi hành</w:t>
      </w:r>
      <w:bookmarkEnd w:id="10"/>
    </w:p>
    <w:p>
      <w:pPr>
        <w:bidi w:val="0"/>
        <w:spacing w:before="120" w:beforeAutospacing="0" w:after="280" w:afterAutospacing="1"/>
      </w:pPr>
      <w:r>
        <w:rPr>
          <w:rtl w:val="0"/>
        </w:rPr>
        <w:t>1. Thông tư này có hiệu lực thi hành kể từ ngày 15 tháng 02 năm 2026.</w:t>
      </w:r>
    </w:p>
    <w:p>
      <w:pPr>
        <w:bidi w:val="0"/>
        <w:spacing w:before="120" w:beforeAutospacing="0" w:after="280" w:afterAutospacing="1"/>
      </w:pPr>
      <w:r>
        <w:rPr>
          <w:rtl w:val="0"/>
        </w:rPr>
        <w:t xml:space="preserve">2. Thông tư số </w:t>
      </w:r>
      <w:bookmarkStart w:id="11" w:name="tvpllink_jawkqxworp"/>
      <w:r>
        <w:rPr>
          <w:rtl w:val="0"/>
        </w:rPr>
        <w:t>10/2024/TT-BY</w:t>
      </w:r>
      <w:bookmarkEnd w:id="11"/>
      <w:r>
        <w:rPr>
          <w:rtl w:val="0"/>
        </w:rPr>
        <w:t>T ngày 13 tháng 6 năm 2024 của Bộ trưởng Bộ Y tế ban hành danh mục bệnh truyền nhiễm, đối tượng và phạm vi phải sử dụng vắc xin, sinh phẩm y tế bắt buộc hết hiệu lực kể từ ngày Thông tư này có hiệu lực thi hành.</w:t>
      </w:r>
    </w:p>
    <w:p>
      <w:pPr>
        <w:bidi w:val="0"/>
        <w:spacing w:before="120" w:beforeAutospacing="0" w:after="280" w:afterAutospacing="1"/>
      </w:pPr>
      <w:bookmarkStart w:id="12" w:name="dieu_5"/>
      <w:r>
        <w:rPr>
          <w:b/>
          <w:bCs/>
          <w:rtl w:val="0"/>
        </w:rPr>
        <w:t>Điều 5. Điều khoản tham chiếu</w:t>
      </w:r>
      <w:bookmarkEnd w:id="12"/>
    </w:p>
    <w:p>
      <w:pPr>
        <w:bidi w:val="0"/>
        <w:spacing w:before="120" w:beforeAutospacing="0" w:after="280" w:afterAutospacing="1"/>
      </w:pPr>
      <w:r>
        <w:rPr>
          <w:rtl w:val="0"/>
        </w:rPr>
        <w:t>Trường hợp văn bản dẫn chiếu trong Thông tư này bị thay thế hoặc sửa đổi, bổ sung thì thực hiện theo văn bản đã được thay thế hoặc văn bản đã được sửa đổi, bổ sung.</w:t>
      </w:r>
    </w:p>
    <w:p>
      <w:pPr>
        <w:bidi w:val="0"/>
        <w:spacing w:before="120" w:beforeAutospacing="0" w:after="280" w:afterAutospacing="1"/>
      </w:pPr>
      <w:bookmarkStart w:id="13" w:name="dieu_6"/>
      <w:r>
        <w:rPr>
          <w:b/>
          <w:bCs/>
          <w:rtl w:val="0"/>
        </w:rPr>
        <w:t>Điều 6. Trách nhiệm thi hành</w:t>
      </w:r>
      <w:bookmarkEnd w:id="13"/>
    </w:p>
    <w:p>
      <w:pPr>
        <w:bidi w:val="0"/>
        <w:spacing w:before="120" w:beforeAutospacing="0" w:after="280" w:afterAutospacing="1"/>
      </w:pPr>
      <w:r>
        <w:rPr>
          <w:rtl w:val="0"/>
        </w:rPr>
        <w:t>Cục trưởng Cục Phòng bệnh; Thủ trưởng các đơn vị thuộc, trực thuộc Bộ Y tế và các cơ quan, tổ chức, cá nhân có liên quan chịu trách nhiệm thi hành Thông tư này.</w:t>
      </w:r>
    </w:p>
    <w:p>
      <w:pPr>
        <w:bidi w:val="0"/>
        <w:spacing w:before="120" w:beforeAutospacing="0" w:after="280" w:afterAutospacing="1"/>
      </w:pPr>
      <w:r>
        <w:rPr>
          <w:rtl w:val="0"/>
        </w:rPr>
        <w:t>Trong quá trình tổ chức thực hiện, nếu có khó khăn, vướng mắc, đề nghị các cơ quan, tổ chức, cá nhân phản ánh kịp thời về Bộ Y tế (qua Cục Phòng bệnh) để xem xét, giải quyết./.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Bộ trưởng (để báo cáo);</w:t>
            </w:r>
            <w:r>
              <w:rPr>
                <w:sz w:val="16"/>
                <w:rtl w:val="0"/>
              </w:rPr>
              <w:br/>
            </w:r>
            <w:r>
              <w:rPr>
                <w:sz w:val="16"/>
                <w:rtl w:val="0"/>
              </w:rPr>
              <w:t>- Các đ/c Thứ trưởng Bộ Y tế (để phối hợp chỉ đạo);</w:t>
            </w:r>
            <w:r>
              <w:rPr>
                <w:sz w:val="16"/>
                <w:rtl w:val="0"/>
              </w:rPr>
              <w:br/>
            </w:r>
            <w:r>
              <w:rPr>
                <w:sz w:val="16"/>
                <w:rtl w:val="0"/>
              </w:rPr>
              <w:t>- Các Sở Y tế tỉnh, thành phố trực thuộc Trung ương;</w:t>
            </w:r>
            <w:r>
              <w:rPr>
                <w:sz w:val="16"/>
                <w:rtl w:val="0"/>
              </w:rPr>
              <w:br/>
            </w:r>
            <w:r>
              <w:rPr>
                <w:sz w:val="16"/>
                <w:rtl w:val="0"/>
              </w:rPr>
              <w:t>- Công báo; Cổng Thông tin điện tử Chính phủ;</w:t>
            </w:r>
            <w:r>
              <w:rPr>
                <w:sz w:val="16"/>
                <w:rtl w:val="0"/>
              </w:rPr>
              <w:br/>
            </w:r>
            <w:r>
              <w:rPr>
                <w:sz w:val="16"/>
                <w:rtl w:val="0"/>
              </w:rPr>
              <w:t>- Các Vụ, Cục, Văn phòng Bộ - Bộ Y tế;</w:t>
            </w:r>
            <w:r>
              <w:rPr>
                <w:sz w:val="16"/>
                <w:rtl w:val="0"/>
              </w:rPr>
              <w:br/>
            </w:r>
            <w:r>
              <w:rPr>
                <w:sz w:val="16"/>
                <w:rtl w:val="0"/>
              </w:rPr>
              <w:t>- Cổng Thông tin điện tử Bộ Y tế;</w:t>
            </w:r>
            <w:r>
              <w:rPr>
                <w:sz w:val="16"/>
                <w:rtl w:val="0"/>
              </w:rPr>
              <w:br/>
            </w:r>
            <w:r>
              <w:rPr>
                <w:sz w:val="16"/>
                <w:rtl w:val="0"/>
              </w:rPr>
              <w:t>- Lưu: VT, PB, PC.</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Thị Liên Hương</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